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0" w:rsidRPr="005F4049" w:rsidRDefault="003A7CD0" w:rsidP="003A7C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04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1929130</wp:posOffset>
            </wp:positionH>
            <wp:positionV relativeFrom="margin">
              <wp:posOffset>-480695</wp:posOffset>
            </wp:positionV>
            <wp:extent cx="3886200" cy="2714625"/>
            <wp:effectExtent l="19050" t="0" r="0" b="0"/>
            <wp:wrapSquare wrapText="bothSides"/>
            <wp:docPr id="7" name="Kép 5" descr="http://www.coosp.etr.u-szeged.hu/File/DownloadPicture-adfe132deca6e8119bd7005056b70073/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coosp.etr.u-szeged.hu/File/DownloadPicture-adfe132deca6e8119bd7005056b70073/Lar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049">
        <w:rPr>
          <w:rFonts w:ascii="Times New Roman" w:hAnsi="Times New Roman" w:cs="Times New Roman"/>
          <w:sz w:val="24"/>
          <w:szCs w:val="24"/>
        </w:rPr>
        <w:t>Jelen tananyag a Szegedi Tudományegyetemen készült az Európai Unió támogatásával. Projekt azonosító: EFOP-3.4.3-16-2016-00014</w:t>
      </w:r>
    </w:p>
    <w:p w:rsidR="003A7CD0" w:rsidRDefault="003A7CD0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D0" w:rsidRDefault="003A7CD0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D0" w:rsidRDefault="003A7CD0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CD0" w:rsidRDefault="003A7CD0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7CF" w:rsidRPr="00BF48B6" w:rsidRDefault="00EB2481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Tesztsor</w:t>
      </w:r>
      <w:r w:rsidR="003A7CD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EB2481" w:rsidRPr="00BF48B6" w:rsidRDefault="00711AFB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Bank-, tőkepiaci-, értékpapír kurzus</w:t>
      </w:r>
    </w:p>
    <w:p w:rsidR="00BF48B6" w:rsidRPr="00BF48B6" w:rsidRDefault="00BF48B6" w:rsidP="00BF48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A kereskedelmi banki szerződések</w:t>
      </w:r>
    </w:p>
    <w:p w:rsidR="00BF48B6" w:rsidRPr="00BF48B6" w:rsidRDefault="002374E0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line id="Egyenes összekötő 1" o:spid="_x0000_s1026" style="position:absolute;left:0;text-align:left;z-index:251659264;visibility:visible" from="33.65pt,17.05pt" to="416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" strokecolor="black [3200]" strokeweight="1.5pt">
            <v:stroke joinstyle="miter"/>
          </v:line>
        </w:pict>
      </w:r>
    </w:p>
    <w:p w:rsidR="00BF48B6" w:rsidRPr="00BF48B6" w:rsidRDefault="00BF48B6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81" w:rsidRPr="00BF48B6" w:rsidRDefault="00EB2481" w:rsidP="00BF48B6">
      <w:pPr>
        <w:pStyle w:val="Listaszerbekezds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B6">
        <w:rPr>
          <w:rFonts w:ascii="Times New Roman" w:hAnsi="Times New Roman" w:cs="Times New Roman"/>
          <w:b/>
          <w:sz w:val="24"/>
          <w:szCs w:val="24"/>
        </w:rPr>
        <w:t>A bank fogalma és egyes típusai- Igaz vagy hamis?</w:t>
      </w:r>
    </w:p>
    <w:p w:rsidR="00EB2481" w:rsidRPr="00BF48B6" w:rsidRDefault="00EB2481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 xml:space="preserve">a, A bank működéséhez a Magyar Nemzeti Bank adhat engedélyt (működési). </w:t>
      </w:r>
    </w:p>
    <w:p w:rsidR="00EB2481" w:rsidRPr="00BF48B6" w:rsidRDefault="00EB2481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b, A kereskedelmi bankok nem kínálnak tanácsadási szolgáltatást.</w:t>
      </w:r>
    </w:p>
    <w:p w:rsidR="00EB2481" w:rsidRPr="00BF48B6" w:rsidRDefault="00EB2481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c, Az univerzál bank csak szűk körben nyújt pénzügyi szolgáltatásokat.</w:t>
      </w:r>
    </w:p>
    <w:p w:rsidR="00EB2481" w:rsidRPr="00BF48B6" w:rsidRDefault="00EB2481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d, A szakosított hitelintézetek a pénzügyi intézményi tevékenységek teljes körére engedélyt kaphat.</w:t>
      </w:r>
    </w:p>
    <w:p w:rsidR="00591D1F" w:rsidRPr="00BF48B6" w:rsidRDefault="00EB2481" w:rsidP="00BF48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B6">
        <w:rPr>
          <w:rFonts w:ascii="Times New Roman" w:hAnsi="Times New Roman" w:cs="Times New Roman"/>
          <w:sz w:val="24"/>
          <w:szCs w:val="24"/>
        </w:rPr>
        <w:t>e</w:t>
      </w:r>
      <w:r w:rsidR="00591D1F" w:rsidRPr="00BF48B6">
        <w:rPr>
          <w:rFonts w:ascii="Times New Roman" w:hAnsi="Times New Roman" w:cs="Times New Roman"/>
          <w:sz w:val="24"/>
          <w:szCs w:val="24"/>
        </w:rPr>
        <w:t>, Magyarországon egyszintű bankrendszer működik.</w:t>
      </w:r>
    </w:p>
    <w:p w:rsidR="00591D1F" w:rsidRPr="00BF48B6" w:rsidRDefault="00591D1F" w:rsidP="00BF48B6">
      <w:pPr>
        <w:pStyle w:val="NormlWeb"/>
        <w:numPr>
          <w:ilvl w:val="0"/>
          <w:numId w:val="1"/>
        </w:numPr>
        <w:spacing w:before="154" w:beforeAutospacing="0" w:after="0" w:afterAutospacing="0" w:line="360" w:lineRule="auto"/>
        <w:ind w:left="0"/>
        <w:jc w:val="both"/>
        <w:textAlignment w:val="baseline"/>
        <w:rPr>
          <w:b/>
        </w:rPr>
      </w:pPr>
      <w:r w:rsidRPr="00BF48B6">
        <w:rPr>
          <w:rFonts w:eastAsiaTheme="minorEastAsia"/>
          <w:b/>
          <w:color w:val="000000" w:themeColor="dark1"/>
        </w:rPr>
        <w:t>Az egyes kereskedelmi banki termékek, azok általános szabályai, a vállalati és lakossági hitelszerződések általános szabályai- Igaz vagy hamis?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a, A folyószámla-hitel sztenderd vállalati és lakossági hitel.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b, A hitel jogi értelemben pénzkölcsön folyósítását jelenti.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c, A változó elszámolású kamat struktúrája, hogy több piaci kamathoz kötött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lastRenderedPageBreak/>
        <w:t>d, A referenciakamathoz egy kamatfelár is kötődik.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e, A referenciakamat sokszor bankközi kamatláb.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f, A kamatmarzsot a hitelszerződésben nem szokás rögzíteni.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</w:rPr>
      </w:pPr>
      <w:r w:rsidRPr="00BF48B6">
        <w:t xml:space="preserve">g, </w:t>
      </w:r>
      <w:r w:rsidRPr="00BF48B6">
        <w:rPr>
          <w:rFonts w:eastAsiaTheme="minorEastAsia"/>
          <w:color w:val="000000" w:themeColor="text1"/>
        </w:rPr>
        <w:t>A hitelek teljes ára a legtöbb esetben nemcsak a kamatot jelenti, hanem valamilyen egyszeri vagy ismétlődő díjtételt.</w:t>
      </w:r>
    </w:p>
    <w:p w:rsidR="00591D1F" w:rsidRPr="00BF48B6" w:rsidRDefault="00591D1F" w:rsidP="00BF48B6">
      <w:pPr>
        <w:pStyle w:val="NormlWeb"/>
        <w:spacing w:before="154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</w:rPr>
      </w:pPr>
      <w:r w:rsidRPr="00BF48B6">
        <w:t xml:space="preserve">h, </w:t>
      </w:r>
      <w:r w:rsidRPr="00BF48B6">
        <w:rPr>
          <w:rFonts w:eastAsiaTheme="minorEastAsia"/>
          <w:color w:val="000000" w:themeColor="text1"/>
        </w:rPr>
        <w:t>A hiteldíj a felmerült munkaráfordítást, illetőleg szabályozás miatt felmerülő tőketartalékolási költségeket fedezi</w:t>
      </w:r>
    </w:p>
    <w:p w:rsidR="00591D1F" w:rsidRPr="00BF48B6" w:rsidRDefault="00DD5293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i, Nem lehet előtörleszteni a fogyasztási hitelszerződéseket.</w:t>
      </w:r>
    </w:p>
    <w:p w:rsidR="00DD5293" w:rsidRPr="00BF48B6" w:rsidRDefault="00DD5293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j, A bankgarancia nem önálló kötelezettségvállalás.</w:t>
      </w:r>
    </w:p>
    <w:p w:rsidR="00711AFB" w:rsidRPr="00BF48B6" w:rsidRDefault="00DD5293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  <w:r w:rsidRPr="00BF48B6">
        <w:t>k, A magyar joggyakorlat nem ismeri el a támogatói nyilatkozatokat.</w:t>
      </w:r>
    </w:p>
    <w:p w:rsidR="00711AFB" w:rsidRPr="00BF48B6" w:rsidRDefault="00711AFB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</w:p>
    <w:p w:rsidR="00DD5293" w:rsidRPr="00BF48B6" w:rsidRDefault="00DD5293" w:rsidP="00BF48B6">
      <w:pPr>
        <w:pStyle w:val="NormlWeb"/>
        <w:numPr>
          <w:ilvl w:val="0"/>
          <w:numId w:val="1"/>
        </w:numPr>
        <w:spacing w:before="154" w:beforeAutospacing="0" w:after="0" w:afterAutospacing="0" w:line="360" w:lineRule="auto"/>
        <w:ind w:left="0"/>
        <w:jc w:val="both"/>
        <w:textAlignment w:val="baseline"/>
        <w:rPr>
          <w:b/>
        </w:rPr>
      </w:pPr>
      <w:r w:rsidRPr="00BF48B6">
        <w:rPr>
          <w:b/>
        </w:rPr>
        <w:t>A vállalati hitelszerződések típusai és azok egyes részletszabályai</w:t>
      </w:r>
      <w:r w:rsidR="00711AFB" w:rsidRPr="00BF48B6">
        <w:rPr>
          <w:b/>
        </w:rPr>
        <w:t>- Igaz vagy hamis?</w:t>
      </w:r>
    </w:p>
    <w:p w:rsidR="00DD5293" w:rsidRPr="00BF48B6" w:rsidRDefault="00DD5293" w:rsidP="00BF48B6">
      <w:pPr>
        <w:pStyle w:val="NormlWeb"/>
        <w:spacing w:before="154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</w:rPr>
      </w:pPr>
      <w:r w:rsidRPr="00BF48B6">
        <w:t xml:space="preserve">a, </w:t>
      </w:r>
      <w:r w:rsidRPr="00BF48B6">
        <w:rPr>
          <w:rFonts w:eastAsiaTheme="minorEastAsia"/>
          <w:color w:val="000000" w:themeColor="text1"/>
        </w:rPr>
        <w:t>Vállalati folyószámlahitel-szerződés esetén a vállalat napi folyó bevételei vagyis a számlán történő jóváírásai automatikusan feltöltik a hitelkeretet.</w:t>
      </w:r>
    </w:p>
    <w:p w:rsidR="00DD5293" w:rsidRPr="00BF48B6" w:rsidRDefault="00DD5293" w:rsidP="00BF48B6">
      <w:pPr>
        <w:pStyle w:val="Listaszerbekezds"/>
        <w:spacing w:after="0" w:line="360" w:lineRule="auto"/>
        <w:ind w:left="0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F48B6">
        <w:rPr>
          <w:rFonts w:ascii="Times New Roman" w:hAnsi="Times New Roman" w:cs="Times New Roman"/>
          <w:sz w:val="24"/>
          <w:szCs w:val="24"/>
        </w:rPr>
        <w:t>b, A rövid lejáratú vállalati pénzpiaci hitel</w:t>
      </w:r>
      <w:r w:rsidRPr="00DD52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szerződés csak határozott időre kötelezheti a feleket</w:t>
      </w:r>
      <w:r w:rsidR="00711AFB"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D5293" w:rsidRPr="00BF48B6" w:rsidRDefault="00DD5293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c, Roll over szerződés esetén </w:t>
      </w:r>
      <w:r w:rsidR="00711AFB"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h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a hosszabbítási feltételek gyengék, a hitel automatikusan nem hosszabbodik meg, igazi visszafizetés, törlesztés nem történik.</w:t>
      </w:r>
    </w:p>
    <w:p w:rsidR="00DD5293" w:rsidRPr="00BF48B6" w:rsidRDefault="00DD5293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d, Klubhitel esetén a 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finanszírozás </w:t>
      </w:r>
      <w:r w:rsidRPr="00BF48B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multilaterális szerződés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keretében történik</w:t>
      </w:r>
    </w:p>
    <w:p w:rsidR="00DD5293" w:rsidRPr="00BF48B6" w:rsidRDefault="00DD5293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e, A faktoring nem atipikus szerződés. </w:t>
      </w:r>
    </w:p>
    <w:p w:rsidR="00DD5293" w:rsidRPr="00BF48B6" w:rsidRDefault="00DD5293" w:rsidP="00BF48B6">
      <w:pPr>
        <w:pStyle w:val="Listaszerbekezds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f, A bankgaranciaszerződés érvényessége nem függ az alapjogviszony érvényességétől.</w:t>
      </w:r>
    </w:p>
    <w:p w:rsidR="00DD5293" w:rsidRPr="00DD5293" w:rsidRDefault="00DD5293" w:rsidP="00BF48B6">
      <w:pPr>
        <w:pStyle w:val="Listaszerbekezds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g, </w:t>
      </w:r>
      <w:r w:rsidRPr="00DD5293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Alapkövetelmény, hogy a forfetírozás alapján fennálló követelés elválik az alapügylettől, </w:t>
      </w:r>
      <w:r w:rsidRPr="00DD52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azaz a forfetírozási szerződés akkor is érvényes, ha mégsem teljesült a szállítási szerződésben foglalt kötelezettségek teljesítése, ebben az esetben az exportőr felel a követelés jogosságáért és a szerződés szerinti teljesítésért.</w:t>
      </w:r>
    </w:p>
    <w:p w:rsidR="00DD5293" w:rsidRPr="00BF48B6" w:rsidRDefault="00DD5293" w:rsidP="00BF48B6">
      <w:pPr>
        <w:pStyle w:val="Listaszerbekezds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293" w:rsidRPr="00BF48B6" w:rsidRDefault="00DD5293" w:rsidP="00BF48B6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lakossági hitelszerződések egyes típusai és azok részletszabályai</w:t>
      </w:r>
      <w:r w:rsidR="00711AFB" w:rsidRPr="00BF48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 Igaz vagy hamis? </w:t>
      </w:r>
    </w:p>
    <w:p w:rsidR="00711AFB" w:rsidRPr="00BF48B6" w:rsidRDefault="00711AFB" w:rsidP="00BF48B6">
      <w:pPr>
        <w:pStyle w:val="Listaszerbekezds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293" w:rsidRPr="00BF48B6" w:rsidRDefault="00DD5293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Fogyasztónak nemcsak természetes személy, hanem gazdasági társaság is lehet, ha az áru vásárlása annak végső felhasználása érdekében történik.</w:t>
      </w:r>
    </w:p>
    <w:p w:rsidR="00DD5293" w:rsidRPr="00BF48B6" w:rsidRDefault="00DD5293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b, 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Lakossági folyószámla szerződésben nem kötnek ki szabályos törlesztési ütemet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c, A lombardhitel a 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Ptk-ban nevesített, atipikus szerződés, banki zálogjog mellett nyújtott hitelt foglal magában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d, Jelzáloghitel-szerződés n</w:t>
      </w:r>
      <w:r w:rsidRPr="00BF48B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emteljesítés esetén a bank érvényesítheti jelzálogjogát, elidegenítheti az ingatlant és a befolyt ellenértékből követelését kielégítheti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e, </w:t>
      </w:r>
      <w:r w:rsidRPr="00BF48B6">
        <w:rPr>
          <w:rFonts w:ascii="Times New Roman" w:eastAsiaTheme="minorEastAsia" w:hAnsi="Times New Roman" w:cs="Times New Roman"/>
          <w:iCs/>
          <w:color w:val="000000" w:themeColor="text1"/>
          <w:sz w:val="24"/>
          <w:szCs w:val="24"/>
        </w:rPr>
        <w:t>Lízingszerződés kötésével a lízingbevevő célja az, hogy a lízingelt dolog ellenértékét, a lízingdíjat a futamidő alatt, meghatározott ütemezés szerinti részletekben fizethesse, a maradványérték kifizetése után pedig a dolog tulajdonjogát megszerezze.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f, A bank biztosítási kötelezettsége akkor is beáll, ha a biztosítási esemény bekövetkezése előre látható volt.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g, Biztosítási szerződés esetén a kárnak nem kell pénzben megbecsülhetőnek lennie.</w:t>
      </w:r>
    </w:p>
    <w:p w:rsidR="00BF48B6" w:rsidRPr="00BF48B6" w:rsidRDefault="00BF48B6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1AFB" w:rsidRPr="00BF48B6" w:rsidRDefault="00711AFB" w:rsidP="00BF48B6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Swap-ügyletek- Igaz vagy hamis?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a, A swap megkötésének nem feltétele szerződés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b, A swap tőzsdei ügylet.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>c, A swap megállapodás csak bankok között köttethet meg.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d, Devizaswap esetén a felek egynemű devizát cserélnek egymással. </w:t>
      </w:r>
    </w:p>
    <w:p w:rsidR="00711AFB" w:rsidRPr="00BF48B6" w:rsidRDefault="00711AFB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293" w:rsidRPr="00BF48B6" w:rsidRDefault="0010526E" w:rsidP="00BF48B6">
      <w:pPr>
        <w:pStyle w:val="Listaszerbekezds"/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4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Töltse ki az alábbi táblázatot! Melyik fogalommeghatározásra került sor? </w:t>
      </w:r>
    </w:p>
    <w:p w:rsidR="0010526E" w:rsidRPr="00BF48B6" w:rsidRDefault="0010526E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Fogalom 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</w:t>
            </w: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fogyasztó által igénybe vett hitelösszeg rögzített vagy változó százalékában, éves szinten meghatározott pénzösszeg,</w:t>
            </w: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hitelszerződésben meghatározott olyan időszak, amely alatt a kamat mértékét a hitelező nem jogosult egyoldalúan megváltoztatni</w:t>
            </w:r>
          </w:p>
        </w:tc>
      </w:tr>
      <w:tr w:rsidR="0010526E" w:rsidRPr="00BF48B6" w:rsidTr="0010526E">
        <w:trPr>
          <w:trHeight w:val="1664"/>
        </w:trPr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Kamatfelár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rPr>
          <w:trHeight w:val="2255"/>
        </w:trPr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„Pricing grid”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10526E" w:rsidRPr="00BF48B6" w:rsidRDefault="0010526E" w:rsidP="00BF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A hitel lebonyolítása kapcsán a bank oldaláról felmerülő munkaráfordításhoz kötődő díj. Ezeket a gyakorlatban „up-front” dÍjaknak (is)nevezik. A szerződésben ez sokféle elnevezéssel szerepelhet: pl. hitelbírálati díj, folyosítási jutalék, hiteladminisztrációs díj. Lehetnek egyszeriek, vagy ismétlődhetnek, pl. felülbírálat esetén .</w:t>
            </w:r>
          </w:p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:rsidR="0010526E" w:rsidRPr="00BF48B6" w:rsidRDefault="0010526E" w:rsidP="00BF4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Minden periódusban ugyanakkora törlesztési összeg van előírva (vállalti, hosszú lejáratú hitelszerződés)</w:t>
            </w:r>
          </w:p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rPr>
          <w:trHeight w:val="1480"/>
        </w:trPr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Lombardhitel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rPr>
          <w:trHeight w:val="1769"/>
        </w:trPr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Szindikált hitelszerződés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</w:rPr>
              <w:t>Akvizíciós hitel</w:t>
            </w: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0526E" w:rsidRPr="00BF48B6" w:rsidTr="0010526E"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0526E" w:rsidRPr="00BF48B6" w:rsidRDefault="0010526E" w:rsidP="00BF48B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48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Jelentős méretű hitel, amelyet a bank arra nyújt, hogy a vállalat ebből osztalékot fizessen ki, vagy hogy visszavásárolja részvényeinek egy részét, vagyis hogy megnövelje a tőkeáttételt, és a tulajdonos pénzeszközhöz jusson</w:t>
            </w:r>
          </w:p>
        </w:tc>
      </w:tr>
    </w:tbl>
    <w:p w:rsidR="0010526E" w:rsidRPr="00BF48B6" w:rsidRDefault="0010526E" w:rsidP="00BF48B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5293" w:rsidRPr="00BF48B6" w:rsidRDefault="00DD5293" w:rsidP="00BF48B6">
      <w:pPr>
        <w:pStyle w:val="NormlWeb"/>
        <w:spacing w:before="154" w:beforeAutospacing="0" w:after="0" w:afterAutospacing="0" w:line="360" w:lineRule="auto"/>
        <w:jc w:val="both"/>
        <w:textAlignment w:val="baseline"/>
      </w:pPr>
    </w:p>
    <w:p w:rsidR="00591D1F" w:rsidRPr="00BF48B6" w:rsidRDefault="00591D1F" w:rsidP="00BF48B6">
      <w:pPr>
        <w:pStyle w:val="Listaszerbekezds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91D1F" w:rsidRPr="00BF48B6" w:rsidSect="002374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05" w:rsidRDefault="00A74405" w:rsidP="00BF48B6">
      <w:pPr>
        <w:spacing w:after="0" w:line="240" w:lineRule="auto"/>
      </w:pPr>
      <w:r>
        <w:separator/>
      </w:r>
    </w:p>
  </w:endnote>
  <w:endnote w:type="continuationSeparator" w:id="1">
    <w:p w:rsidR="00A74405" w:rsidRDefault="00A74405" w:rsidP="00BF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3313"/>
      <w:docPartObj>
        <w:docPartGallery w:val="Page Numbers (Bottom of Page)"/>
        <w:docPartUnique/>
      </w:docPartObj>
    </w:sdtPr>
    <w:sdtContent>
      <w:p w:rsidR="00BF48B6" w:rsidRDefault="002374E0">
        <w:pPr>
          <w:pStyle w:val="llb"/>
          <w:jc w:val="center"/>
        </w:pPr>
        <w:r>
          <w:fldChar w:fldCharType="begin"/>
        </w:r>
        <w:r w:rsidR="00BF48B6">
          <w:instrText>PAGE   \* MERGEFORMAT</w:instrText>
        </w:r>
        <w:r>
          <w:fldChar w:fldCharType="separate"/>
        </w:r>
        <w:r w:rsidR="003A7CD0">
          <w:rPr>
            <w:noProof/>
          </w:rPr>
          <w:t>1</w:t>
        </w:r>
        <w:r>
          <w:fldChar w:fldCharType="end"/>
        </w:r>
      </w:p>
    </w:sdtContent>
  </w:sdt>
  <w:p w:rsidR="00BF48B6" w:rsidRDefault="00BF48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05" w:rsidRDefault="00A74405" w:rsidP="00BF48B6">
      <w:pPr>
        <w:spacing w:after="0" w:line="240" w:lineRule="auto"/>
      </w:pPr>
      <w:r>
        <w:separator/>
      </w:r>
    </w:p>
  </w:footnote>
  <w:footnote w:type="continuationSeparator" w:id="1">
    <w:p w:rsidR="00A74405" w:rsidRDefault="00A74405" w:rsidP="00BF48B6">
      <w:pPr>
        <w:spacing w:after="0" w:line="240" w:lineRule="auto"/>
      </w:pPr>
      <w:r>
        <w:continuationSeparator/>
      </w:r>
    </w:p>
  </w:footnote>
  <w:footnote w:id="2">
    <w:p w:rsidR="003A7CD0" w:rsidRPr="003A7CD0" w:rsidRDefault="003A7CD0">
      <w:pPr>
        <w:pStyle w:val="Lbjegyzetszveg"/>
        <w:rPr>
          <w:rFonts w:ascii="Times New Roman" w:hAnsi="Times New Roman" w:cs="Times New Roman"/>
        </w:rPr>
      </w:pPr>
      <w:r w:rsidRPr="003A7CD0">
        <w:rPr>
          <w:rStyle w:val="Lbjegyzet-hivatkozs"/>
          <w:rFonts w:ascii="Times New Roman" w:hAnsi="Times New Roman" w:cs="Times New Roman"/>
        </w:rPr>
        <w:footnoteRef/>
      </w:r>
      <w:r w:rsidRPr="003A7CD0">
        <w:rPr>
          <w:rFonts w:ascii="Times New Roman" w:hAnsi="Times New Roman" w:cs="Times New Roman"/>
        </w:rPr>
        <w:t xml:space="preserve"> Készítette: dr. Paja Gábor, SZTE-ÁJTK Üzleti jogi Intézet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45C"/>
    <w:multiLevelType w:val="hybridMultilevel"/>
    <w:tmpl w:val="7CF07E2E"/>
    <w:lvl w:ilvl="0" w:tplc="3F70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1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6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47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8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A5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C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2C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B460C3"/>
    <w:multiLevelType w:val="hybridMultilevel"/>
    <w:tmpl w:val="D284C0FE"/>
    <w:lvl w:ilvl="0" w:tplc="63E84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16B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CEB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0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E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0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E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0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4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0B7A1C"/>
    <w:multiLevelType w:val="hybridMultilevel"/>
    <w:tmpl w:val="8D765098"/>
    <w:lvl w:ilvl="0" w:tplc="6DCC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2F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A0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2F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AC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24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8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0A0DC8"/>
    <w:multiLevelType w:val="hybridMultilevel"/>
    <w:tmpl w:val="A6AC984C"/>
    <w:lvl w:ilvl="0" w:tplc="2FBC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C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C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65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6D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A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89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C2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31407D"/>
    <w:multiLevelType w:val="hybridMultilevel"/>
    <w:tmpl w:val="592C67EE"/>
    <w:lvl w:ilvl="0" w:tplc="A90CB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736"/>
    <w:multiLevelType w:val="hybridMultilevel"/>
    <w:tmpl w:val="8C7CD976"/>
    <w:lvl w:ilvl="0" w:tplc="1F0EA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007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CC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A6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61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8E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4F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A5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A7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A45AF"/>
    <w:multiLevelType w:val="hybridMultilevel"/>
    <w:tmpl w:val="21C85CC8"/>
    <w:lvl w:ilvl="0" w:tplc="CB88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B6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6D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A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65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0A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A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C1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602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481"/>
    <w:rsid w:val="0010526E"/>
    <w:rsid w:val="0023634D"/>
    <w:rsid w:val="002374E0"/>
    <w:rsid w:val="003A7CD0"/>
    <w:rsid w:val="00403F71"/>
    <w:rsid w:val="004F62CC"/>
    <w:rsid w:val="00591D1F"/>
    <w:rsid w:val="00711AFB"/>
    <w:rsid w:val="00766555"/>
    <w:rsid w:val="00916330"/>
    <w:rsid w:val="00A74405"/>
    <w:rsid w:val="00BF48B6"/>
    <w:rsid w:val="00BF7542"/>
    <w:rsid w:val="00DD5293"/>
    <w:rsid w:val="00EB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4E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48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9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0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F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8B6"/>
  </w:style>
  <w:style w:type="paragraph" w:styleId="llb">
    <w:name w:val="footer"/>
    <w:basedOn w:val="Norml"/>
    <w:link w:val="llbChar"/>
    <w:uiPriority w:val="99"/>
    <w:unhideWhenUsed/>
    <w:rsid w:val="00BF4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8B6"/>
  </w:style>
  <w:style w:type="paragraph" w:styleId="Buborkszveg">
    <w:name w:val="Balloon Text"/>
    <w:basedOn w:val="Norml"/>
    <w:link w:val="BuborkszvegChar"/>
    <w:uiPriority w:val="99"/>
    <w:semiHidden/>
    <w:unhideWhenUsed/>
    <w:rsid w:val="003A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7CD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7CD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7CD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7C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1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314860-A26C-47DD-B881-CDED831C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Dr. Paja</dc:creator>
  <cp:lastModifiedBy>Windows-felhasználó</cp:lastModifiedBy>
  <cp:revision>2</cp:revision>
  <dcterms:created xsi:type="dcterms:W3CDTF">2018-11-30T21:30:00Z</dcterms:created>
  <dcterms:modified xsi:type="dcterms:W3CDTF">2018-11-30T21:30:00Z</dcterms:modified>
</cp:coreProperties>
</file>