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49" w:rsidRPr="005F4049" w:rsidRDefault="005F4049" w:rsidP="005F4049">
      <w:pPr>
        <w:rPr>
          <w:rFonts w:ascii="Times New Roman" w:hAnsi="Times New Roman" w:cs="Times New Roman"/>
          <w:sz w:val="24"/>
          <w:szCs w:val="24"/>
        </w:rPr>
      </w:pPr>
      <w:r w:rsidRPr="005F404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1929130</wp:posOffset>
            </wp:positionH>
            <wp:positionV relativeFrom="margin">
              <wp:posOffset>-480695</wp:posOffset>
            </wp:positionV>
            <wp:extent cx="3886200" cy="2714625"/>
            <wp:effectExtent l="19050" t="0" r="0" b="0"/>
            <wp:wrapSquare wrapText="bothSides"/>
            <wp:docPr id="5" name="Kép 5" descr="http://www.coosp.etr.u-szeged.hu/File/DownloadPicture-adfe132deca6e8119bd7005056b70073/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coosp.etr.u-szeged.hu/File/DownloadPicture-adfe132deca6e8119bd7005056b70073/Lar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049">
        <w:rPr>
          <w:rFonts w:ascii="Times New Roman" w:hAnsi="Times New Roman" w:cs="Times New Roman"/>
          <w:sz w:val="24"/>
          <w:szCs w:val="24"/>
        </w:rPr>
        <w:t xml:space="preserve">Jelen tananyag a Szegedi Tudományegyetemen készült az Európai Unió támogatásával. </w:t>
      </w:r>
      <w:proofErr w:type="gramStart"/>
      <w:r w:rsidRPr="005F4049">
        <w:rPr>
          <w:rFonts w:ascii="Times New Roman" w:hAnsi="Times New Roman" w:cs="Times New Roman"/>
          <w:sz w:val="24"/>
          <w:szCs w:val="24"/>
        </w:rPr>
        <w:t>Projekt azonosító</w:t>
      </w:r>
      <w:proofErr w:type="gramEnd"/>
      <w:r w:rsidRPr="005F4049">
        <w:rPr>
          <w:rFonts w:ascii="Times New Roman" w:hAnsi="Times New Roman" w:cs="Times New Roman"/>
          <w:sz w:val="24"/>
          <w:szCs w:val="24"/>
        </w:rPr>
        <w:t>: EFOP-3.4.3-16-2016-00014</w:t>
      </w:r>
    </w:p>
    <w:p w:rsidR="005F4049" w:rsidRPr="005F4049" w:rsidRDefault="005F4049">
      <w:pPr>
        <w:rPr>
          <w:rFonts w:ascii="Times New Roman" w:hAnsi="Times New Roman" w:cs="Times New Roman"/>
          <w:sz w:val="24"/>
          <w:szCs w:val="24"/>
        </w:rPr>
      </w:pPr>
    </w:p>
    <w:p w:rsidR="005F4049" w:rsidRPr="005F4049" w:rsidRDefault="005F4049">
      <w:pPr>
        <w:rPr>
          <w:rFonts w:ascii="Times New Roman" w:hAnsi="Times New Roman" w:cs="Times New Roman"/>
          <w:sz w:val="24"/>
          <w:szCs w:val="24"/>
        </w:rPr>
      </w:pPr>
    </w:p>
    <w:p w:rsidR="005F4049" w:rsidRPr="005F4049" w:rsidRDefault="005F4049">
      <w:pPr>
        <w:rPr>
          <w:rFonts w:ascii="Times New Roman" w:hAnsi="Times New Roman" w:cs="Times New Roman"/>
          <w:sz w:val="24"/>
          <w:szCs w:val="24"/>
        </w:rPr>
      </w:pPr>
    </w:p>
    <w:p w:rsidR="005F4049" w:rsidRPr="005F4049" w:rsidRDefault="005F4049">
      <w:pPr>
        <w:rPr>
          <w:rFonts w:ascii="Times New Roman" w:hAnsi="Times New Roman" w:cs="Times New Roman"/>
          <w:sz w:val="24"/>
          <w:szCs w:val="24"/>
        </w:rPr>
      </w:pPr>
    </w:p>
    <w:p w:rsidR="005F4049" w:rsidRPr="005F4049" w:rsidRDefault="005F4049">
      <w:pPr>
        <w:rPr>
          <w:rFonts w:ascii="Times New Roman" w:hAnsi="Times New Roman" w:cs="Times New Roman"/>
          <w:sz w:val="24"/>
          <w:szCs w:val="24"/>
        </w:rPr>
      </w:pPr>
    </w:p>
    <w:p w:rsidR="005F4049" w:rsidRPr="005F4049" w:rsidRDefault="005F4049">
      <w:pPr>
        <w:rPr>
          <w:rFonts w:ascii="Times New Roman" w:hAnsi="Times New Roman" w:cs="Times New Roman"/>
          <w:sz w:val="24"/>
          <w:szCs w:val="24"/>
        </w:rPr>
      </w:pPr>
      <w:r w:rsidRPr="005F4049">
        <w:rPr>
          <w:rFonts w:ascii="Times New Roman" w:hAnsi="Times New Roman" w:cs="Times New Roman"/>
          <w:sz w:val="24"/>
          <w:szCs w:val="24"/>
        </w:rPr>
        <w:t xml:space="preserve">Készítette dr. </w:t>
      </w:r>
      <w:proofErr w:type="spellStart"/>
      <w:r w:rsidRPr="005F4049">
        <w:rPr>
          <w:rFonts w:ascii="Times New Roman" w:hAnsi="Times New Roman" w:cs="Times New Roman"/>
          <w:sz w:val="24"/>
          <w:szCs w:val="24"/>
        </w:rPr>
        <w:t>Paja</w:t>
      </w:r>
      <w:proofErr w:type="spellEnd"/>
      <w:r w:rsidRPr="005F4049">
        <w:rPr>
          <w:rFonts w:ascii="Times New Roman" w:hAnsi="Times New Roman" w:cs="Times New Roman"/>
          <w:sz w:val="24"/>
          <w:szCs w:val="24"/>
        </w:rPr>
        <w:t xml:space="preserve"> Gábor, SZTE-ÁJTK Üzleti Jogi Intézet</w:t>
      </w:r>
    </w:p>
    <w:p w:rsidR="005F4049" w:rsidRPr="005F4049" w:rsidRDefault="005F4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154"/>
        <w:gridCol w:w="4908"/>
      </w:tblGrid>
      <w:tr w:rsidR="000E7A97" w:rsidRPr="005F4049" w:rsidTr="00506027">
        <w:tc>
          <w:tcPr>
            <w:tcW w:w="9062" w:type="dxa"/>
            <w:gridSpan w:val="2"/>
          </w:tcPr>
          <w:p w:rsidR="0058674A" w:rsidRPr="005F4049" w:rsidRDefault="0058674A" w:rsidP="000E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A kereskedelmi banki szerződések</w:t>
            </w:r>
            <w:r w:rsidR="000E7A97" w:rsidRPr="005F4049">
              <w:rPr>
                <w:rFonts w:ascii="Times New Roman" w:hAnsi="Times New Roman" w:cs="Times New Roman"/>
                <w:sz w:val="24"/>
                <w:szCs w:val="24"/>
              </w:rPr>
              <w:t>- Fogalomtár</w:t>
            </w:r>
          </w:p>
          <w:p w:rsidR="00F43C62" w:rsidRPr="005F4049" w:rsidRDefault="00F43C62" w:rsidP="000E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97" w:rsidRPr="005F4049" w:rsidRDefault="000E7A97" w:rsidP="000E7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97" w:rsidRPr="005F4049" w:rsidRDefault="000E7A97" w:rsidP="000E7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Kereskedelmi bank </w:t>
            </w:r>
          </w:p>
        </w:tc>
        <w:tc>
          <w:tcPr>
            <w:tcW w:w="4908" w:type="dxa"/>
          </w:tcPr>
          <w:p w:rsidR="00B71EA7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>zéleskörű termékpalettával rendelkez</w:t>
            </w: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ő 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>(melyek közül a legfontosabbak a megtakarítások (betétgyűjtés), az üzletszerű megtakarítások valamint a fizetési forgalom lebonyolítás</w:t>
            </w: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ára szakosodott monetáris pénzügyi közvetítő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Befektetési bank</w:t>
            </w:r>
          </w:p>
        </w:tc>
        <w:tc>
          <w:tcPr>
            <w:tcW w:w="4908" w:type="dxa"/>
          </w:tcPr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Pénzügyi közvetítők, ugyanakkor fő termékkörük nem a klasszikus banki szolgáltatások (betét, hitel, pénzforgalom). Elsősorban pénzügyi piaci termékek kereskedelmével, értékpapírok, pénzügyi termékek kibocsátásával, jegyzésével foglalkoznak, vagy más tranzakciókhoz (mint pl. vállalatfelvásárlás, összeolvadás) kapcsolódó elemzéssel, tanácsadással foglalkozik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Univerzál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bank </w:t>
            </w:r>
          </w:p>
        </w:tc>
        <w:tc>
          <w:tcPr>
            <w:tcW w:w="4908" w:type="dxa"/>
          </w:tcPr>
          <w:p w:rsidR="00B71EA7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>lyan bank, amely kifejezetten széles körű kereskedelmi és banki termékpalettát kínál</w:t>
            </w: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Vegyes ügyfélkörrel rendelkezik, így fogyasztóknak és vállalkozásoknak is kínál kereskedelmi banki szolgáltatásokat 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wholesale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” bank</w:t>
            </w:r>
          </w:p>
        </w:tc>
        <w:tc>
          <w:tcPr>
            <w:tcW w:w="4908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58674A" w:rsidRPr="005F4049">
              <w:rPr>
                <w:rFonts w:ascii="Times New Roman" w:hAnsi="Times New Roman" w:cs="Times New Roman"/>
                <w:sz w:val="24"/>
                <w:szCs w:val="24"/>
              </w:rPr>
              <w:t>gyfelei kizárólag intézményi szereplők, bankok, pénzügyi vállalatok, alapok illetőleg kis-és középvállalkozások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retail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” bank</w:t>
            </w:r>
          </w:p>
        </w:tc>
        <w:tc>
          <w:tcPr>
            <w:tcW w:w="4908" w:type="dxa"/>
          </w:tcPr>
          <w:p w:rsidR="00B71EA7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gyfélköre közvetlenül a „fogyasztók” ami a lakossága és a kis-illetőleg a </w:t>
            </w:r>
            <w:proofErr w:type="spellStart"/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>mikrovállalkozásokat</w:t>
            </w:r>
            <w:proofErr w:type="spellEnd"/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jelenti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Univerzál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bank</w:t>
            </w:r>
          </w:p>
        </w:tc>
        <w:tc>
          <w:tcPr>
            <w:tcW w:w="4908" w:type="dxa"/>
          </w:tcPr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vállalati és lakossági szolgáltatásokat egyaránt nyújtó bank 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8674A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itelintézet </w:t>
            </w:r>
          </w:p>
        </w:tc>
        <w:tc>
          <w:tcPr>
            <w:tcW w:w="4908" w:type="dxa"/>
          </w:tcPr>
          <w:p w:rsidR="00B71EA7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Az a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pénzügyi intézmény, amely a </w:t>
            </w: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Hpt. 3.§-ban rögzített 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>pénzügyi szolgáltatások közül legalább betétet gyűjt, vagy más visszafizetendő pénzeszközt fogad el a nyilvánosságtól-, valamint hitel-és pénzkölcsönt nyújt. Kizárólag hitelintézet jogosult betétgyűjtésre és pénzváltási tevékenység elvégzésére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8674A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ank </w:t>
            </w:r>
          </w:p>
        </w:tc>
        <w:tc>
          <w:tcPr>
            <w:tcW w:w="4908" w:type="dxa"/>
          </w:tcPr>
          <w:p w:rsidR="00B71EA7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pénzügyi szolgáltatási tevékenységek közül legalább betétgyűjtéssel (így betéti szerződések megkötésével), hitel-és pénzkölcsön nyújtásával (hitel-és kölcsönszerződések megkötésével) valamint pénzforgalmi szolgáltatásokkal foglalkozik (pl. folyószámla-szerződés megkötése)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Pénzügyi vállalkozás </w:t>
            </w:r>
          </w:p>
        </w:tc>
        <w:tc>
          <w:tcPr>
            <w:tcW w:w="4908" w:type="dxa"/>
          </w:tcPr>
          <w:p w:rsidR="00B71EA7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lyan pénzügyi </w:t>
            </w:r>
            <w:proofErr w:type="gramStart"/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>intézmények</w:t>
            </w:r>
            <w:proofErr w:type="gramEnd"/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amelyek adott tevékenységek kivételével egy vagy több pénzügyi szolgáltatást vagy fizetési rendszer működtetését végzik. Nem jogosult betétgyűjtésre, pénzváltási tevékenység végzésére, pénzforgalmi szolgáltatás nyújtására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8674A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ogyasztó </w:t>
            </w:r>
          </w:p>
        </w:tc>
        <w:tc>
          <w:tcPr>
            <w:tcW w:w="4908" w:type="dxa"/>
          </w:tcPr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Fogyasztón az önálló foglalkozásán és gazdasági tevékenységén kívül eső célok érdekében eljáró természetes személyt kell érteni. Nem minősül fogyasztónak, ezért a Pénzügyi Békéltető Testület eljárását sem kezdeményezheti az egyéni vállalkozó, egyéni cég, gazdasági társaság, jogi személyek, jogi személyiség nélküli szervezetek, társasházak. 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5936B6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Vállalkozás </w:t>
            </w:r>
          </w:p>
        </w:tc>
        <w:tc>
          <w:tcPr>
            <w:tcW w:w="4908" w:type="dxa"/>
          </w:tcPr>
          <w:p w:rsidR="0058674A" w:rsidRPr="005F4049" w:rsidRDefault="005936B6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szakmája, önálló foglalkozása vagy üzleti tevékenysége körében eljáró személy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936B6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evizakonverzió </w:t>
            </w:r>
          </w:p>
        </w:tc>
        <w:tc>
          <w:tcPr>
            <w:tcW w:w="4908" w:type="dxa"/>
          </w:tcPr>
          <w:p w:rsidR="0058674A" w:rsidRPr="005F4049" w:rsidRDefault="005936B6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Egy deviza másik devizára való átváltása. Általában akkor </w:t>
            </w:r>
            <w:proofErr w:type="gram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történik</w:t>
            </w:r>
            <w:proofErr w:type="gram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ha különböző devizanemű számlák között pénzmozgás van, például egy eurós számláról utalunk egy forintos számlára.</w:t>
            </w:r>
          </w:p>
          <w:p w:rsidR="005936B6" w:rsidRPr="005F4049" w:rsidRDefault="005936B6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A bankok a devizajóváírásért és a konverzióért is felszámíthatnak díjat.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5936B6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Treasury</w:t>
            </w:r>
            <w:proofErr w:type="spellEnd"/>
          </w:p>
        </w:tc>
        <w:tc>
          <w:tcPr>
            <w:tcW w:w="4908" w:type="dxa"/>
          </w:tcPr>
          <w:p w:rsidR="0058674A" w:rsidRPr="005F4049" w:rsidRDefault="005936B6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A bank központi forráselosztó egysége. Feladata a bank belső - forrásgyűjtő és kihelyező - egységei közötti közvetítés, valamint a bank likviditási, kamatlábkockázati pozíciójának kezelése, rendszerint bankközi pénz és devizapiaci és derivatív-piaci ügyletek révén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BB641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Hitel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>intézet</w:t>
            </w:r>
          </w:p>
        </w:tc>
        <w:tc>
          <w:tcPr>
            <w:tcW w:w="4908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="00BB6417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lyan jogalany, </w:t>
            </w:r>
            <w:proofErr w:type="gramStart"/>
            <w:r w:rsidR="00BB6417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aki</w:t>
            </w:r>
            <w:proofErr w:type="gramEnd"/>
            <w:r w:rsidR="00BB6417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vagy amely önálló </w:t>
            </w:r>
            <w:r w:rsidR="00BB6417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foglalkozása vagy gazdasági tevékenysége körében hitelt nyújt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B15190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Hitelkamat </w:t>
            </w:r>
          </w:p>
        </w:tc>
        <w:tc>
          <w:tcPr>
            <w:tcW w:w="4908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fogyasztó által igénybe vett hitelösszeg rögzített vagy változó százalékában, éves szinten meghatározott pénzösszeg,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B15190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Hitelszerződés </w:t>
            </w:r>
          </w:p>
        </w:tc>
        <w:tc>
          <w:tcPr>
            <w:tcW w:w="4908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Polgári Törvénykönyvről szóló törvényben meghatározott hitelszerződés és kölcsönszerződés, ide nem értve az olyan szerződést, amely alapján folyamatos szolgáltatásnyújtás vagy azonos termék azonos mennyiségben történő értékesítése ellenében a fogyasztó részletfizetést teljesí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itel teljes díja </w:t>
            </w:r>
          </w:p>
        </w:tc>
        <w:tc>
          <w:tcPr>
            <w:tcW w:w="4908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hitelező által ismert minden olyan - a teljes hiteldíj mutató számításánál a külön jogszabály szerint figyelembe veendő - ellenszolgáltatás, amelyet a fogyasztó a hitelszerződés kapcsán megfizet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B15190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Kamatperiódus </w:t>
            </w:r>
          </w:p>
        </w:tc>
        <w:tc>
          <w:tcPr>
            <w:tcW w:w="4908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hitelszerződésben meghatározott olyan időszak, amely alatt a kamat mértékét a hitelező nem jogosult egyoldalúan megváltoztatni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B15190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Rögzített hitelkamat </w:t>
            </w:r>
          </w:p>
        </w:tc>
        <w:tc>
          <w:tcPr>
            <w:tcW w:w="4908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hitelszerződésben annak megkötésekor meghatározott, a hitelszerződés teljes futamidejére vonatkozó egy, vagy a futamidő részeire vonatkozó több, százalékos mérték használatával meghatározott hitelkamat; a hitelkamat kizárólag arra az időszakra tekinthető rögzítettnek, amelyre vonatkozóan a hitelszerződésben a százalékos mértéke meghatározásra került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amatfelár </w:t>
            </w:r>
          </w:p>
        </w:tc>
        <w:tc>
          <w:tcPr>
            <w:tcW w:w="4908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referencia-kamatlábon felül - a hitelkamat részeként - fizetendő kamat, a hitelkamat és a referenciakamat különbségeként meghatározott kamatrész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itelképesség vizsgálata </w:t>
            </w:r>
          </w:p>
        </w:tc>
        <w:tc>
          <w:tcPr>
            <w:tcW w:w="4908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fogyasztó törlesztési kötelezettségeinek várható teljesítésére vonatkozó kilátás előzetes felmérése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B15190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Pricinggrid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908" w:type="dxa"/>
          </w:tcPr>
          <w:p w:rsidR="00B71EA7" w:rsidRPr="005F4049" w:rsidRDefault="00F43C62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Általában a bonyolultabb vállalati hitelkonstrukciók esetén a hitelszerződésben kikötik a „</w:t>
            </w: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pricinggrid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” fogalmát, mely azt jelenti, hogy a </w:t>
            </w: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hitelmarzs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a futamidő közben változhat, ha egy adott esemény bekövetkezik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, például eredményességi mutató változása 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B15190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up-front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” díj </w:t>
            </w:r>
          </w:p>
        </w:tc>
        <w:tc>
          <w:tcPr>
            <w:tcW w:w="4908" w:type="dxa"/>
          </w:tcPr>
          <w:p w:rsidR="00B71EA7" w:rsidRPr="005F4049" w:rsidRDefault="00F43C62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A hitel lebonyolítása kapcsán a bank oldaláról felmerülő munkaráfordításhoz kötőd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</w:rPr>
              <w:t>ő díj</w:t>
            </w: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. Ezeket a gyakorlatban „</w:t>
            </w: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up-front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proofErr w:type="gram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dÍjaknak</w:t>
            </w:r>
            <w:proofErr w:type="spellEnd"/>
            <w:r w:rsidR="00B15190" w:rsidRPr="005F40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nevezik. A szerződésben ez sokféle elnevezéssel szerepelhet: pl. hitelbírálati díj, </w:t>
            </w: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folyosítási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jutalék, hiteladminisztrációs díj. Lehetnek egyszeriek, vagy ismétlődhetnek, pl. </w:t>
            </w:r>
            <w:r w:rsidRPr="005F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felülbírálat </w:t>
            </w:r>
            <w:proofErr w:type="gram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esetén 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="00B15190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lőtörlesztés </w:t>
            </w:r>
          </w:p>
        </w:tc>
        <w:tc>
          <w:tcPr>
            <w:tcW w:w="4908" w:type="dxa"/>
          </w:tcPr>
          <w:p w:rsidR="0058674A" w:rsidRPr="005F4049" w:rsidRDefault="00B15190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A fogyasztó minden esetben élhet a hitel részleges vagy teljes előtörlesztésével, amely a soron kívül részben vagy egészben történő elszámolást jelenti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B15190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Teljes Hiteldíj Mutató (THM) </w:t>
            </w:r>
          </w:p>
        </w:tc>
        <w:tc>
          <w:tcPr>
            <w:tcW w:w="4908" w:type="dxa"/>
          </w:tcPr>
          <w:p w:rsidR="00B71EA7" w:rsidRPr="005F4049" w:rsidRDefault="00F43C62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A THM egy éves szintre levetített, %-ban kifejezett szám, amely nemcsak a kamatot, de a díjak, a hitel fizetendő költségének többségét is magában foglalja. A THM tartalmazza a hitelszerződés kapcsán felmerülő (majdnem) összes költséget (kamat, díj, jutalék), adót, illetőleg a szerződéshez kapcsolható járulékos költségeket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Törlesztés</w:t>
            </w:r>
          </w:p>
        </w:tc>
        <w:tc>
          <w:tcPr>
            <w:tcW w:w="4908" w:type="dxa"/>
          </w:tcPr>
          <w:p w:rsidR="00B71EA7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felvett hitel névértékének adott ütemű visszafizetését jelenti.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Adósságteher </w:t>
            </w:r>
          </w:p>
        </w:tc>
        <w:tc>
          <w:tcPr>
            <w:tcW w:w="4908" w:type="dxa"/>
          </w:tcPr>
          <w:p w:rsidR="00B71EA7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z adott időszakra eső törlesztésen kívül a kamatfizetést is tartalmazza 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Egyenletes törlesztési kikötés </w:t>
            </w:r>
          </w:p>
        </w:tc>
        <w:tc>
          <w:tcPr>
            <w:tcW w:w="4908" w:type="dxa"/>
          </w:tcPr>
          <w:p w:rsidR="00B71EA7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</w:rPr>
              <w:t>inden periódusban ugyanakkora törlesztési összeg van előírva (vállalti, hosszú lejáratú hitelszerződés)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Annuitásos törlesztési kikötés</w:t>
            </w:r>
          </w:p>
        </w:tc>
        <w:tc>
          <w:tcPr>
            <w:tcW w:w="4908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Minden periódusban a törlesztés és a kamat összege állandó. Ez állandóan növekvő törlesztési összeget jelent és csökkenő kamatfizetési terhet. Tipikusan fogyasztási-, jelzáloghiteleknél kötik ki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Ballon törlesztés </w:t>
            </w:r>
          </w:p>
        </w:tc>
        <w:tc>
          <w:tcPr>
            <w:tcW w:w="4908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4471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em arányos, nagyobb összegű futamidő végére hagyott törlesztés. Lakossági hiteleknél ilyen nem merül fel, csak </w:t>
            </w:r>
            <w:proofErr w:type="spellStart"/>
            <w:r w:rsidR="006B4471" w:rsidRPr="005F4049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="006B4471" w:rsidRPr="005F4049">
              <w:rPr>
                <w:rFonts w:ascii="Times New Roman" w:hAnsi="Times New Roman" w:cs="Times New Roman"/>
                <w:sz w:val="24"/>
                <w:szCs w:val="24"/>
              </w:rPr>
              <w:t>. Vállalati hiteleknél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Bankgarancia</w:t>
            </w:r>
          </w:p>
        </w:tc>
        <w:tc>
          <w:tcPr>
            <w:tcW w:w="4908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bankgarancia a Bank visszavonhatatlan kötelezettségvállalása arra, hogy ügyfelének kérésére és utasítása szerint a bankgaranciában megjelölt kedvezményezett javára, a bankgarancia feltételeinek teljesülése esetén fizetést teljesít, a kedvezményezett első felszólítására, az alapjogviszony vizsgálata nélkül.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Kezesség </w:t>
            </w:r>
          </w:p>
        </w:tc>
        <w:tc>
          <w:tcPr>
            <w:tcW w:w="4908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Magánszemély vagy más vállalkozás, jogi személy által nyújtott kezesség, amely esetben a kezes arra vállal kötelezettséget, hogy amennyiben az alapszerződés kötelezettje nem teljesít, maga fog a kötelezett helyett teljesíteni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Támogató nyilatkozat</w:t>
            </w:r>
          </w:p>
        </w:tc>
        <w:tc>
          <w:tcPr>
            <w:tcW w:w="4908" w:type="dxa"/>
          </w:tcPr>
          <w:p w:rsidR="0058674A" w:rsidRPr="005F4049" w:rsidRDefault="000E7A97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B4471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zek a kezességnél gyengébb nyilatkozatok, amelyekben a kibocsátó valamilyen szintű kötelezettséget vállal arra, hogy a hitelfelvevőt támogatja és adott esetben a hitelfelvevő </w:t>
            </w:r>
            <w:r w:rsidR="006B4471" w:rsidRPr="005F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rendelkezésére bocsátja annak tartozásának összegét.</w:t>
            </w:r>
          </w:p>
        </w:tc>
      </w:tr>
      <w:tr w:rsidR="000E7A97" w:rsidRPr="005F4049" w:rsidTr="00A96A68">
        <w:tc>
          <w:tcPr>
            <w:tcW w:w="4154" w:type="dxa"/>
          </w:tcPr>
          <w:p w:rsidR="006B4471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Kovenáns</w:t>
            </w:r>
            <w:proofErr w:type="spellEnd"/>
          </w:p>
        </w:tc>
        <w:tc>
          <w:tcPr>
            <w:tcW w:w="4908" w:type="dxa"/>
          </w:tcPr>
          <w:p w:rsidR="006B4471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kovenáns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(hitelezői kötelezettségvállalás) olyan megállapodás a hitelező és az adós között, amely a hitel futamideje alatt kötelezi az adóst bizonyos tevékenységek elvégzésére vagy bizonyos tevékenységektől való tartózkodásra</w:t>
            </w: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Pénzügyi lízing </w:t>
            </w:r>
          </w:p>
        </w:tc>
        <w:tc>
          <w:tcPr>
            <w:tcW w:w="4908" w:type="dxa"/>
          </w:tcPr>
          <w:p w:rsidR="006B4471" w:rsidRPr="005F4049" w:rsidRDefault="000E7A97" w:rsidP="000E7A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6B4471" w:rsidRPr="005F4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 a tevékenység, amelynek során a lízingbeadó a tulajdonában lévő ingatlant vagy ingó dolgot, illetve vagyoni értékű jogot a lízingbevevő határozott idejű használatába adja oly módon, hogy a használatba adással a lízingbevevő</w:t>
            </w:r>
          </w:p>
          <w:p w:rsidR="006B4471" w:rsidRPr="005F4049" w:rsidRDefault="006B4471" w:rsidP="000E7A97">
            <w:pP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a) </w:t>
            </w:r>
            <w:r w:rsidRPr="005F4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viseli a kárveszély átszállásából származó kockázatot,</w:t>
            </w:r>
          </w:p>
          <w:p w:rsidR="006B4471" w:rsidRPr="005F4049" w:rsidRDefault="006B4471" w:rsidP="000E7A97">
            <w:pP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b) </w:t>
            </w:r>
            <w:r w:rsidRPr="005F4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hasznok szedésére jogosulttá válik,</w:t>
            </w:r>
          </w:p>
          <w:p w:rsidR="006B4471" w:rsidRPr="005F4049" w:rsidRDefault="006B4471" w:rsidP="000E7A97">
            <w:pP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c) </w:t>
            </w:r>
            <w:r w:rsidRPr="005F4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viseli a közvetlen terheket (ideértve a fenntartási és amortizációs költségeket is),</w:t>
            </w:r>
          </w:p>
          <w:p w:rsidR="006B4471" w:rsidRPr="005F4049" w:rsidRDefault="006B4471" w:rsidP="000E7A97">
            <w:pP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d) </w:t>
            </w:r>
            <w:r w:rsidRPr="005F404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jogosultságot szerez arra, hogy a szerződésben kikötött időtartam lejártával a lízingdíj teljes tőketörlesztő és kamattörlesztő részének, valamint a szerződésben kikötött maradványérték megfizetésével a dolgon ő vagy az általa megjelölt személy tulajdonjogot szerezzen. Ha a lízingbevevő nem él e jogával, a lízing tárgya visszakerül a lízingbeadó birtokába. A felek a szerződésben kötik ki a lízingdíj tőkerészét - amely a lízingbe adott vagyontárgy, vagyoni értékű jog szerződés szerinti árával azonos -, valamint kamatrészét és a törlesztésének ütemezését;</w:t>
            </w:r>
          </w:p>
          <w:p w:rsidR="0058674A" w:rsidRPr="005F4049" w:rsidRDefault="0058674A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58674A" w:rsidRPr="005F4049" w:rsidRDefault="006B4471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Lakáscélú pénzügyi lízing </w:t>
            </w:r>
          </w:p>
        </w:tc>
        <w:tc>
          <w:tcPr>
            <w:tcW w:w="4908" w:type="dxa"/>
          </w:tcPr>
          <w:p w:rsidR="0058674A" w:rsidRPr="005F4049" w:rsidRDefault="00C7556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r w:rsidR="006B4471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lyan pénzügyi lízingszerződés, amelyben a felek által okiratban rögzített cél lakóingatlan tulajdonjogának harmadik személy eladótól történő, lízingbevevő általi megszerzése</w:t>
            </w:r>
          </w:p>
        </w:tc>
      </w:tr>
      <w:tr w:rsidR="000E7A97" w:rsidRPr="005F4049" w:rsidTr="00A96A68">
        <w:tc>
          <w:tcPr>
            <w:tcW w:w="4154" w:type="dxa"/>
          </w:tcPr>
          <w:p w:rsidR="006B4471" w:rsidRPr="005F4049" w:rsidRDefault="00C7556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F3A2D"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itelszerződés </w:t>
            </w:r>
          </w:p>
        </w:tc>
        <w:tc>
          <w:tcPr>
            <w:tcW w:w="4908" w:type="dxa"/>
          </w:tcPr>
          <w:p w:rsidR="006B4471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Hitelszerződés alapján a hitelező hitelkeret rendelkezésre tartására, és a rendelkezésre tartott összeg erejéig kölcsönszerződés, kezességi szerződés, garanciaszerződés vagy egyéb hitelművelet végzésére vonatkozó más szerződés megkötésére, az adós díj fizetésére köteles.</w:t>
            </w:r>
          </w:p>
        </w:tc>
      </w:tr>
      <w:tr w:rsidR="000E7A97" w:rsidRPr="005F4049" w:rsidTr="00A96A68">
        <w:tc>
          <w:tcPr>
            <w:tcW w:w="4154" w:type="dxa"/>
          </w:tcPr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Kölcsönszerződés</w:t>
            </w:r>
          </w:p>
        </w:tc>
        <w:tc>
          <w:tcPr>
            <w:tcW w:w="4908" w:type="dxa"/>
          </w:tcPr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Kölcsönszerződés alapján a hitelező meghatározott pénzösszeg fizetésére, az adós a pénzösszeg szerződés szerinti későbbi időpontban a hitelezőnek történő visszafizetésére és kamat fizetésére köteles</w:t>
            </w:r>
          </w:p>
        </w:tc>
      </w:tr>
      <w:tr w:rsidR="000E7A97" w:rsidRPr="005F4049" w:rsidTr="00A96A68">
        <w:tc>
          <w:tcPr>
            <w:tcW w:w="4154" w:type="dxa"/>
          </w:tcPr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Lombardhitel</w:t>
            </w:r>
          </w:p>
        </w:tc>
        <w:tc>
          <w:tcPr>
            <w:tcW w:w="4908" w:type="dxa"/>
          </w:tcPr>
          <w:p w:rsidR="00B71EA7" w:rsidRPr="005F4049" w:rsidRDefault="00F43C62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Ptk-ban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nem nevesített, atipikus szerződés, banki zálogjog mellett nyújtott hitelt foglal magában</w:t>
            </w:r>
          </w:p>
          <w:p w:rsidR="00B71EA7" w:rsidRPr="005F4049" w:rsidRDefault="00F43C62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A </w:t>
            </w:r>
            <w:proofErr w:type="gramStart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bank(</w:t>
            </w:r>
            <w:proofErr w:type="gramEnd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pénzügyi intézmény) az esetek többségében bankbetét, értékpapír vagy egyéb piacképes kézizálogra tekintettel, annak fedezete mellett vállal hitelnyújtást</w:t>
            </w:r>
          </w:p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Faktoring szerződés</w:t>
            </w:r>
          </w:p>
        </w:tc>
        <w:tc>
          <w:tcPr>
            <w:tcW w:w="4908" w:type="dxa"/>
          </w:tcPr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Faktoring szerződés alapján a faktor meghatározott pénzösszeg fizetésére, az adós harmadik személlyel szembeni követelésének a faktorra engedményezésére köteles; ha az engedményezett követelés esedékességekor a kötelezett nem teljesít, az adós a kapott összeg visszafizetésére és kamat fizetésére, a faktor a követelés visszaengedményezésére köteles</w:t>
            </w:r>
          </w:p>
        </w:tc>
      </w:tr>
      <w:tr w:rsidR="000E7A97" w:rsidRPr="005F4049" w:rsidTr="00A96A68">
        <w:tc>
          <w:tcPr>
            <w:tcW w:w="4154" w:type="dxa"/>
          </w:tcPr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Forfetírozás</w:t>
            </w:r>
            <w:proofErr w:type="spellEnd"/>
          </w:p>
        </w:tc>
        <w:tc>
          <w:tcPr>
            <w:tcW w:w="4908" w:type="dxa"/>
          </w:tcPr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Forfetírozás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esetén egy visszkereseti jog nélküli követelés vagy követeléssorozat adásvételéről van szó, amikor a finanszírozó az összes kockázatot, így fizetési ország-és beszedési kockázatot vállal</w:t>
            </w:r>
          </w:p>
        </w:tc>
      </w:tr>
      <w:tr w:rsidR="000E7A97" w:rsidRPr="005F4049" w:rsidTr="00A96A68">
        <w:tc>
          <w:tcPr>
            <w:tcW w:w="4154" w:type="dxa"/>
          </w:tcPr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Szindikált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hitelszerződés</w:t>
            </w:r>
          </w:p>
        </w:tc>
        <w:tc>
          <w:tcPr>
            <w:tcW w:w="4908" w:type="dxa"/>
          </w:tcPr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Szindikált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hitelszerződés alapján kettő vagy több bank nyújt hitelt közös dokumentáció és szerződéses rendszer alapján</w:t>
            </w:r>
          </w:p>
        </w:tc>
      </w:tr>
      <w:tr w:rsidR="000E7A97" w:rsidRPr="005F4049" w:rsidTr="00A96A68">
        <w:tc>
          <w:tcPr>
            <w:tcW w:w="4154" w:type="dxa"/>
          </w:tcPr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Klubhitel- szerződés</w:t>
            </w:r>
            <w:proofErr w:type="gramEnd"/>
          </w:p>
        </w:tc>
        <w:tc>
          <w:tcPr>
            <w:tcW w:w="4908" w:type="dxa"/>
          </w:tcPr>
          <w:p w:rsidR="00B71EA7" w:rsidRPr="005F4049" w:rsidRDefault="00F43C62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Specializált tranzakcióknál, nagyobb összegű hiteleknél- ahol egy bank nem szeretne túlzottan nagy kötelezettséget vállalni- a bankok egyfajta csoportot (klubot vagy szindikátust) képezhetnek, és meghatározott szintig bizonyos egységes feltételekkel finanszírozzák a vállalatot </w:t>
            </w:r>
          </w:p>
          <w:p w:rsidR="00B71EA7" w:rsidRPr="005F4049" w:rsidRDefault="00F43C62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Ilyenkor a finanszírozás multilaterális szerződés keretében történik</w:t>
            </w:r>
            <w:r w:rsidR="003F3A2D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E7A97" w:rsidRPr="005F4049" w:rsidTr="00A96A68">
        <w:tc>
          <w:tcPr>
            <w:tcW w:w="4154" w:type="dxa"/>
          </w:tcPr>
          <w:p w:rsidR="00B71EA7" w:rsidRPr="005F4049" w:rsidRDefault="00F43C62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Tőkeáttételes </w:t>
            </w: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rekapitalizációs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hitel</w:t>
            </w:r>
          </w:p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</w:tcPr>
          <w:p w:rsidR="003F3A2D" w:rsidRPr="005F4049" w:rsidRDefault="003F3A2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Jelentős méretű hitel, amelyet a bank arra nyújt, hogy a vállalat ebből osztalékot fizessen ki, </w:t>
            </w:r>
            <w:proofErr w:type="gramStart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vagy</w:t>
            </w:r>
            <w:proofErr w:type="gramEnd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hogy visszavásárolja részvényeinek egy részét, vagyis hogy megnövelje a tőkeáttételt, és a tulajdonos pénzeszközhöz jusson</w:t>
            </w:r>
          </w:p>
        </w:tc>
      </w:tr>
      <w:tr w:rsidR="000E7A97" w:rsidRPr="005F4049" w:rsidTr="00A96A68">
        <w:tc>
          <w:tcPr>
            <w:tcW w:w="4154" w:type="dxa"/>
          </w:tcPr>
          <w:p w:rsidR="007A12EF" w:rsidRPr="005F4049" w:rsidRDefault="007A12EF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Akvizíciós hitel</w:t>
            </w:r>
          </w:p>
        </w:tc>
        <w:tc>
          <w:tcPr>
            <w:tcW w:w="4908" w:type="dxa"/>
          </w:tcPr>
          <w:p w:rsidR="007A12EF" w:rsidRPr="005F4049" w:rsidRDefault="00C7556D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="007A12EF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gy vállalatfelvásárlást, a vételárat (részben) fedező és finanszírozó, általában hosszú lejáratú </w:t>
            </w:r>
            <w:proofErr w:type="gramStart"/>
            <w:r w:rsidR="007A12EF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hitel(</w:t>
            </w:r>
            <w:proofErr w:type="gramEnd"/>
            <w:r w:rsidR="007A12EF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szerződés).</w:t>
            </w:r>
          </w:p>
        </w:tc>
      </w:tr>
      <w:tr w:rsidR="000E7A97" w:rsidRPr="005F4049" w:rsidTr="00A96A68">
        <w:tc>
          <w:tcPr>
            <w:tcW w:w="4154" w:type="dxa"/>
          </w:tcPr>
          <w:p w:rsidR="007A12EF" w:rsidRPr="005F4049" w:rsidRDefault="007A12EF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Rövid-lejáratú pénzpiaci hitelszerződés</w:t>
            </w:r>
          </w:p>
        </w:tc>
        <w:tc>
          <w:tcPr>
            <w:tcW w:w="4908" w:type="dxa"/>
          </w:tcPr>
          <w:p w:rsidR="007A12EF" w:rsidRPr="005F4049" w:rsidRDefault="007A12EF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Fix, adott futamidőre szóló szerződés, (ált. 1-2-3-6 hónap) amit csak az adott futamidő végén törlesztenek.</w:t>
            </w:r>
          </w:p>
        </w:tc>
      </w:tr>
      <w:tr w:rsidR="000E7A97" w:rsidRPr="005F4049" w:rsidTr="00A96A68">
        <w:tc>
          <w:tcPr>
            <w:tcW w:w="4154" w:type="dxa"/>
          </w:tcPr>
          <w:p w:rsidR="007A12EF" w:rsidRPr="005F4049" w:rsidRDefault="0095774C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Követelésértékesítés</w:t>
            </w:r>
          </w:p>
        </w:tc>
        <w:tc>
          <w:tcPr>
            <w:tcW w:w="4908" w:type="dxa"/>
          </w:tcPr>
          <w:p w:rsidR="00B71EA7" w:rsidRPr="005F4049" w:rsidRDefault="0095774C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F43C62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követelésértékesítés általánosan egy áruszállításból vagy szolgáltatásból származó, halasztott fizetésű követelés értékesítését jelenti- adós kockázatának átvállalásával vagy </w:t>
            </w:r>
            <w:proofErr w:type="gramStart"/>
            <w:r w:rsidR="00F43C62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anélkül</w:t>
            </w:r>
            <w:proofErr w:type="gramEnd"/>
            <w:r w:rsidR="00F43C62"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valamekkora ellentérték fejében. </w:t>
            </w:r>
          </w:p>
          <w:p w:rsidR="007A12EF" w:rsidRPr="005F4049" w:rsidRDefault="007A12EF" w:rsidP="000E7A9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D73BF" w:rsidRPr="005F4049" w:rsidTr="00A96A68">
        <w:tc>
          <w:tcPr>
            <w:tcW w:w="4154" w:type="dxa"/>
          </w:tcPr>
          <w:p w:rsidR="00AD73BF" w:rsidRPr="005F4049" w:rsidRDefault="00A96A68" w:rsidP="00A96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>Swap</w:t>
            </w:r>
            <w:proofErr w:type="spellEnd"/>
            <w:r w:rsidRPr="005F4049">
              <w:rPr>
                <w:rFonts w:ascii="Times New Roman" w:hAnsi="Times New Roman" w:cs="Times New Roman"/>
                <w:sz w:val="24"/>
                <w:szCs w:val="24"/>
              </w:rPr>
              <w:t xml:space="preserve"> megállapodás </w:t>
            </w:r>
          </w:p>
        </w:tc>
        <w:tc>
          <w:tcPr>
            <w:tcW w:w="4908" w:type="dxa"/>
          </w:tcPr>
          <w:p w:rsidR="00AD73BF" w:rsidRPr="005F4049" w:rsidRDefault="00A96A68" w:rsidP="00A96A6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Valamely pénzügyi </w:t>
            </w:r>
            <w:proofErr w:type="gramStart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instrumentum  általában</w:t>
            </w:r>
            <w:proofErr w:type="gramEnd"/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deviza, értékpapír vagy kamat - cseréjére vonatkozó olyan összetett kontraktus, </w:t>
            </w:r>
            <w:r w:rsidRPr="005F4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amely általában egy azonnali és egy határidős adásvételi ügyletből, illetve több határidős ügyletből tevődik össze és általában jövőbeni pénzáramlások cseréjét vonja maga után</w:t>
            </w:r>
          </w:p>
        </w:tc>
      </w:tr>
    </w:tbl>
    <w:p w:rsidR="00E857CF" w:rsidRPr="005F4049" w:rsidRDefault="005F4049" w:rsidP="000E7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7CF" w:rsidRPr="005F4049" w:rsidSect="0015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3501"/>
    <w:multiLevelType w:val="hybridMultilevel"/>
    <w:tmpl w:val="44E45B5E"/>
    <w:lvl w:ilvl="0" w:tplc="9426E6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641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69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6020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EE6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F8D5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ED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0A9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C71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B071DE"/>
    <w:multiLevelType w:val="hybridMultilevel"/>
    <w:tmpl w:val="636C99D2"/>
    <w:lvl w:ilvl="0" w:tplc="A8B4A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68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4C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0F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C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0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2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25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ED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6E4C53"/>
    <w:multiLevelType w:val="hybridMultilevel"/>
    <w:tmpl w:val="A252BE28"/>
    <w:lvl w:ilvl="0" w:tplc="B2D0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04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49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AB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E2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AE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C7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8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2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224789"/>
    <w:multiLevelType w:val="hybridMultilevel"/>
    <w:tmpl w:val="4F62B6FA"/>
    <w:lvl w:ilvl="0" w:tplc="2F82F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2A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0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6F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A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E4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07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C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E5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4B3DDC"/>
    <w:multiLevelType w:val="hybridMultilevel"/>
    <w:tmpl w:val="BA7C9546"/>
    <w:lvl w:ilvl="0" w:tplc="11C2C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EC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C79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434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EF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6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A6B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E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AB8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131871"/>
    <w:multiLevelType w:val="hybridMultilevel"/>
    <w:tmpl w:val="96362D72"/>
    <w:lvl w:ilvl="0" w:tplc="C0EA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6C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EA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63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E7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2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E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E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C5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5A3092"/>
    <w:multiLevelType w:val="hybridMultilevel"/>
    <w:tmpl w:val="1A5221AE"/>
    <w:lvl w:ilvl="0" w:tplc="5A5E4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8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C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68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6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2E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21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AC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EA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FC5BF0"/>
    <w:multiLevelType w:val="hybridMultilevel"/>
    <w:tmpl w:val="952896EE"/>
    <w:lvl w:ilvl="0" w:tplc="D644A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4B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0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3C1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CA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E3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CC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A2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89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5052A4"/>
    <w:multiLevelType w:val="hybridMultilevel"/>
    <w:tmpl w:val="59D6B838"/>
    <w:lvl w:ilvl="0" w:tplc="CE66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00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A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0D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6E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25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46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C2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6E6083"/>
    <w:multiLevelType w:val="hybridMultilevel"/>
    <w:tmpl w:val="AB8E1CB8"/>
    <w:lvl w:ilvl="0" w:tplc="22EAC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4D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40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24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9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E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243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07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89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B6267A"/>
    <w:multiLevelType w:val="hybridMultilevel"/>
    <w:tmpl w:val="BAE0CBF4"/>
    <w:lvl w:ilvl="0" w:tplc="FF483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84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02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0E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00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E1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C8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E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4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C840847"/>
    <w:multiLevelType w:val="hybridMultilevel"/>
    <w:tmpl w:val="5DBA01DC"/>
    <w:lvl w:ilvl="0" w:tplc="C2DCF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E3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2F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05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A1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47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64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0E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7542DD"/>
    <w:multiLevelType w:val="hybridMultilevel"/>
    <w:tmpl w:val="C13CB1F0"/>
    <w:lvl w:ilvl="0" w:tplc="C290A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E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6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6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4E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CF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4C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02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20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79135CC"/>
    <w:multiLevelType w:val="hybridMultilevel"/>
    <w:tmpl w:val="265E2D92"/>
    <w:lvl w:ilvl="0" w:tplc="A56CA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EEF1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6BE87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2B2B9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7083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3547C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20AD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BA0B4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A088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07023"/>
    <w:multiLevelType w:val="hybridMultilevel"/>
    <w:tmpl w:val="983E133A"/>
    <w:lvl w:ilvl="0" w:tplc="E872F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667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CF9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23E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ED3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E61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A40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4DB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CEC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335E73"/>
    <w:multiLevelType w:val="hybridMultilevel"/>
    <w:tmpl w:val="3E76C9FC"/>
    <w:lvl w:ilvl="0" w:tplc="55B0D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7E4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00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CC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A8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0B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25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08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EB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3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74A"/>
    <w:rsid w:val="000E7A97"/>
    <w:rsid w:val="001577B6"/>
    <w:rsid w:val="00335741"/>
    <w:rsid w:val="003F3A2D"/>
    <w:rsid w:val="00403F71"/>
    <w:rsid w:val="004B6DD9"/>
    <w:rsid w:val="004F62CC"/>
    <w:rsid w:val="0058674A"/>
    <w:rsid w:val="005936B6"/>
    <w:rsid w:val="005F4049"/>
    <w:rsid w:val="006B4471"/>
    <w:rsid w:val="007A12EF"/>
    <w:rsid w:val="0095774C"/>
    <w:rsid w:val="009C2E35"/>
    <w:rsid w:val="00A96A68"/>
    <w:rsid w:val="00AA5F45"/>
    <w:rsid w:val="00AD73BF"/>
    <w:rsid w:val="00B15190"/>
    <w:rsid w:val="00B71EA7"/>
    <w:rsid w:val="00BB6417"/>
    <w:rsid w:val="00C7556D"/>
    <w:rsid w:val="00F4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7B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936B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57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90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9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6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1509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Dr. Paja</dc:creator>
  <cp:lastModifiedBy>Windows-felhasználó</cp:lastModifiedBy>
  <cp:revision>2</cp:revision>
  <dcterms:created xsi:type="dcterms:W3CDTF">2018-11-30T21:29:00Z</dcterms:created>
  <dcterms:modified xsi:type="dcterms:W3CDTF">2018-11-30T21:29:00Z</dcterms:modified>
</cp:coreProperties>
</file>