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AD" w:rsidRPr="00AF19AD" w:rsidRDefault="00AF19AD" w:rsidP="00AF19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19AD">
        <w:rPr>
          <w:rFonts w:ascii="Times New Roman" w:hAnsi="Times New Roman" w:cs="Times New Roman"/>
          <w:sz w:val="24"/>
          <w:szCs w:val="24"/>
        </w:rPr>
        <w:t>Jelen tananyag a Szegedi Tudományegyetemen készült az Európai Unió támogatásával. Projekt azonosító: EFOP-3.4.3-16-2016-00014</w:t>
      </w:r>
    </w:p>
    <w:p w:rsidR="00AF19AD" w:rsidRDefault="00AF19AD" w:rsidP="00263C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9AD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1847850" y="1428750"/>
            <wp:positionH relativeFrom="margin">
              <wp:align>right</wp:align>
            </wp:positionH>
            <wp:positionV relativeFrom="margin">
              <wp:align>top</wp:align>
            </wp:positionV>
            <wp:extent cx="3886200" cy="2714625"/>
            <wp:effectExtent l="19050" t="0" r="0" b="0"/>
            <wp:wrapSquare wrapText="bothSides"/>
            <wp:docPr id="1" name="Kép 4" descr="http://www.coosp.etr.u-szeged.hu/File/DownloadPicture-adfe132deca6e8119bd7005056b70073/Lar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www.coosp.etr.u-szeged.hu/File/DownloadPicture-adfe132deca6e8119bd7005056b70073/Lar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9AD" w:rsidRDefault="00AF19AD" w:rsidP="00263C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9AD" w:rsidRDefault="00AF19AD" w:rsidP="00263C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9AD" w:rsidRDefault="00AF19AD" w:rsidP="00263C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9AD" w:rsidRDefault="00AF19AD" w:rsidP="00263C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9AD" w:rsidRDefault="00AF19AD" w:rsidP="00263C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7CF" w:rsidRPr="00263C55" w:rsidRDefault="001A1291" w:rsidP="00263C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C55">
        <w:rPr>
          <w:rFonts w:ascii="Times New Roman" w:hAnsi="Times New Roman" w:cs="Times New Roman"/>
          <w:sz w:val="24"/>
          <w:szCs w:val="24"/>
        </w:rPr>
        <w:t>Teszt</w:t>
      </w:r>
      <w:r w:rsidR="00AF19AD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="00AF19AD" w:rsidRPr="00AF19AD">
        <w:rPr>
          <w:noProof/>
          <w:lang w:eastAsia="hu-HU"/>
        </w:rPr>
        <w:t xml:space="preserve"> </w:t>
      </w:r>
    </w:p>
    <w:p w:rsidR="00263C55" w:rsidRPr="00263C55" w:rsidRDefault="00263C55" w:rsidP="00263C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C55" w:rsidRPr="00263C55" w:rsidRDefault="00263C55" w:rsidP="00263C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C55">
        <w:rPr>
          <w:rFonts w:ascii="Times New Roman" w:hAnsi="Times New Roman" w:cs="Times New Roman"/>
          <w:sz w:val="24"/>
          <w:szCs w:val="24"/>
        </w:rPr>
        <w:t>Bank-, értékpapír-, tőkepiaci kurzus</w:t>
      </w:r>
    </w:p>
    <w:p w:rsidR="00263C55" w:rsidRPr="00263C55" w:rsidRDefault="00263C55" w:rsidP="00263C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C55">
        <w:rPr>
          <w:rFonts w:ascii="Times New Roman" w:hAnsi="Times New Roman" w:cs="Times New Roman"/>
          <w:sz w:val="24"/>
          <w:szCs w:val="24"/>
        </w:rPr>
        <w:t>Értékpapírjog</w:t>
      </w:r>
    </w:p>
    <w:p w:rsidR="00263C55" w:rsidRPr="00263C55" w:rsidRDefault="005F1DA4" w:rsidP="00263C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line id="Egyenes összekötő 1" o:spid="_x0000_s1026" style="position:absolute;left:0;text-align:left;flip:y;z-index:251659264;visibility:visible;mso-width-relative:margin;mso-height-relative:margin" from="23.65pt,9.35pt" to="446.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" strokecolor="black [3200]" strokeweight="1pt">
            <v:stroke joinstyle="miter"/>
          </v:line>
        </w:pict>
      </w:r>
    </w:p>
    <w:p w:rsidR="001A1291" w:rsidRPr="00263C55" w:rsidRDefault="001A1291" w:rsidP="00263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291" w:rsidRPr="00263C55" w:rsidRDefault="001A1291" w:rsidP="00263C5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55">
        <w:rPr>
          <w:rFonts w:ascii="Times New Roman" w:hAnsi="Times New Roman" w:cs="Times New Roman"/>
          <w:sz w:val="24"/>
          <w:szCs w:val="24"/>
        </w:rPr>
        <w:t>Igaz vagy hamis?</w:t>
      </w:r>
    </w:p>
    <w:p w:rsidR="001A1291" w:rsidRPr="00263C55" w:rsidRDefault="001A1291" w:rsidP="00263C55">
      <w:pPr>
        <w:pStyle w:val="Listaszerbekezds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A1291" w:rsidRPr="00263C55" w:rsidRDefault="001A1291" w:rsidP="00263C55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55">
        <w:rPr>
          <w:rFonts w:ascii="Times New Roman" w:hAnsi="Times New Roman" w:cs="Times New Roman"/>
          <w:sz w:val="24"/>
          <w:szCs w:val="24"/>
        </w:rPr>
        <w:t>Az értékpapírok kizárólag nyomdai úton előállított értékpapírok.</w:t>
      </w:r>
    </w:p>
    <w:p w:rsidR="001A1291" w:rsidRPr="00263C55" w:rsidRDefault="001A1291" w:rsidP="00263C55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55">
        <w:rPr>
          <w:rFonts w:ascii="Times New Roman" w:hAnsi="Times New Roman" w:cs="Times New Roman"/>
          <w:sz w:val="24"/>
          <w:szCs w:val="24"/>
        </w:rPr>
        <w:t xml:space="preserve">Az értékpapírjogviszony absztrakt jogügylet. </w:t>
      </w:r>
    </w:p>
    <w:p w:rsidR="001A1291" w:rsidRPr="00263C55" w:rsidRDefault="001A1291" w:rsidP="00263C55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55">
        <w:rPr>
          <w:rFonts w:ascii="Times New Roman" w:hAnsi="Times New Roman" w:cs="Times New Roman"/>
          <w:sz w:val="24"/>
          <w:szCs w:val="24"/>
        </w:rPr>
        <w:t>Az értékpapír a benne foglalt jogot jogot úgy inkorporálja, hogy arról rendelkezni, a jogot gyakorolni csak az értékpapír birtokában lehet.</w:t>
      </w:r>
    </w:p>
    <w:p w:rsidR="001A1291" w:rsidRPr="00263C55" w:rsidRDefault="001A1291" w:rsidP="00263C55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55">
        <w:rPr>
          <w:rFonts w:ascii="Times New Roman" w:hAnsi="Times New Roman" w:cs="Times New Roman"/>
          <w:sz w:val="24"/>
          <w:szCs w:val="24"/>
        </w:rPr>
        <w:t>Az értékpapírjogviszony minden esetben egyoldalú jogügylet.</w:t>
      </w:r>
    </w:p>
    <w:p w:rsidR="001A1291" w:rsidRPr="00263C55" w:rsidRDefault="001A1291" w:rsidP="00263C55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55">
        <w:rPr>
          <w:rFonts w:ascii="Times New Roman" w:hAnsi="Times New Roman" w:cs="Times New Roman"/>
          <w:sz w:val="24"/>
          <w:szCs w:val="24"/>
        </w:rPr>
        <w:t>A legitimációs irat a kötelezett helyzetét segíti.</w:t>
      </w:r>
    </w:p>
    <w:p w:rsidR="001A1291" w:rsidRPr="00263C55" w:rsidRDefault="001A1291" w:rsidP="00263C55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Az értékpapír kötelezettje a jóhiszemű jogosulttal szemben az értékpapír vagy az értékpapírszámla tartalmából kitűnő kifogásokon kívül hivatkozhat olyan kifogásokra, amelyek valamely korábbi jogosulttal szembeni jogviszonyán alapulnak</w:t>
      </w:r>
    </w:p>
    <w:p w:rsidR="001A1291" w:rsidRPr="00263C55" w:rsidRDefault="001A1291" w:rsidP="00263C55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55">
        <w:rPr>
          <w:rFonts w:ascii="Times New Roman" w:hAnsi="Times New Roman" w:cs="Times New Roman"/>
          <w:sz w:val="24"/>
          <w:szCs w:val="24"/>
        </w:rPr>
        <w:t xml:space="preserve">A nem kamatozó értékpapíroknál van hozamelvárás. </w:t>
      </w:r>
    </w:p>
    <w:p w:rsidR="001A1291" w:rsidRPr="00263C55" w:rsidRDefault="001A1291" w:rsidP="00263C55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55">
        <w:rPr>
          <w:rFonts w:ascii="Times New Roman" w:hAnsi="Times New Roman" w:cs="Times New Roman"/>
          <w:sz w:val="24"/>
          <w:szCs w:val="24"/>
        </w:rPr>
        <w:t>Magyarországon jelenleg kétszintű számlarendszer működik.</w:t>
      </w:r>
    </w:p>
    <w:p w:rsidR="001A1291" w:rsidRPr="00263C55" w:rsidRDefault="001A1291" w:rsidP="00263C55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Az értékpapírszámla kimerülése nem szünteti meg a számlát.</w:t>
      </w:r>
    </w:p>
    <w:p w:rsidR="001A1291" w:rsidRPr="00263C55" w:rsidRDefault="001A1291" w:rsidP="00263C55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55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lastRenderedPageBreak/>
        <w:t>A bemutatóra szóló értékpapír a birtoklás tényén alapszik.</w:t>
      </w:r>
    </w:p>
    <w:p w:rsidR="00CF4E4A" w:rsidRPr="00263C55" w:rsidRDefault="001A1291" w:rsidP="00263C55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55">
        <w:rPr>
          <w:rFonts w:ascii="Times New Roman" w:hAnsi="Times New Roman" w:cs="Times New Roman"/>
          <w:sz w:val="24"/>
          <w:szCs w:val="24"/>
        </w:rPr>
        <w:t xml:space="preserve">A </w:t>
      </w:r>
      <w:r w:rsidR="007E2FD4" w:rsidRPr="00263C55">
        <w:rPr>
          <w:rFonts w:ascii="Times New Roman" w:hAnsi="Times New Roman" w:cs="Times New Roman"/>
          <w:sz w:val="24"/>
          <w:szCs w:val="24"/>
        </w:rPr>
        <w:t xml:space="preserve">forgatmány alakilag </w:t>
      </w:r>
      <w:r w:rsidRPr="00263C55">
        <w:rPr>
          <w:rFonts w:ascii="Times New Roman" w:hAnsi="Times New Roman" w:cs="Times New Roman"/>
          <w:sz w:val="24"/>
          <w:szCs w:val="24"/>
        </w:rPr>
        <w:t xml:space="preserve">nem </w:t>
      </w:r>
      <w:r w:rsidR="007E2FD4" w:rsidRPr="00263C55">
        <w:rPr>
          <w:rFonts w:ascii="Times New Roman" w:hAnsi="Times New Roman" w:cs="Times New Roman"/>
          <w:sz w:val="24"/>
          <w:szCs w:val="24"/>
        </w:rPr>
        <w:t xml:space="preserve">legitimálja az új jogosultat. </w:t>
      </w:r>
    </w:p>
    <w:p w:rsidR="001A1291" w:rsidRPr="00263C55" w:rsidRDefault="001A1291" w:rsidP="00263C55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55">
        <w:rPr>
          <w:rFonts w:ascii="Times New Roman" w:hAnsi="Times New Roman" w:cs="Times New Roman"/>
          <w:sz w:val="24"/>
          <w:szCs w:val="24"/>
        </w:rPr>
        <w:t>A váltójogi szabályok 1965 óta nem módosultak.</w:t>
      </w:r>
    </w:p>
    <w:p w:rsidR="001A1291" w:rsidRPr="00263C55" w:rsidRDefault="001A1291" w:rsidP="00263C55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55">
        <w:rPr>
          <w:rFonts w:ascii="Times New Roman" w:hAnsi="Times New Roman" w:cs="Times New Roman"/>
          <w:sz w:val="24"/>
          <w:szCs w:val="24"/>
        </w:rPr>
        <w:t>Az idegen váltót tekinthetjük a váltó alaptípusának.</w:t>
      </w:r>
    </w:p>
    <w:p w:rsidR="00CF4E4A" w:rsidRPr="00263C55" w:rsidRDefault="007E2FD4" w:rsidP="00263C55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55">
        <w:rPr>
          <w:rFonts w:ascii="Times New Roman" w:hAnsi="Times New Roman" w:cs="Times New Roman"/>
          <w:iCs/>
          <w:sz w:val="24"/>
          <w:szCs w:val="24"/>
        </w:rPr>
        <w:t>Telepített a váltó</w:t>
      </w:r>
      <w:r w:rsidRPr="00263C5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63C55">
        <w:rPr>
          <w:rFonts w:ascii="Times New Roman" w:hAnsi="Times New Roman" w:cs="Times New Roman"/>
          <w:sz w:val="24"/>
          <w:szCs w:val="24"/>
        </w:rPr>
        <w:t xml:space="preserve">ha a teljesítés helye nem  a címzett lakóhelye, hanem az a telep, hely, helység, amit a váltó feltüntet. </w:t>
      </w:r>
    </w:p>
    <w:p w:rsidR="001A1291" w:rsidRPr="00263C55" w:rsidRDefault="00FE3C19" w:rsidP="00263C55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 váltóban fel kell tüntetni a kiállítás helyét és idejét. Ha ténylegesen nem ott és akkor állították ki, akkor a váltót az nem teszi érvénytelenné</w:t>
      </w:r>
    </w:p>
    <w:p w:rsidR="00CF4E4A" w:rsidRPr="00263C55" w:rsidRDefault="00FE3C19" w:rsidP="00263C55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55">
        <w:rPr>
          <w:rFonts w:ascii="Times New Roman" w:hAnsi="Times New Roman" w:cs="Times New Roman"/>
          <w:sz w:val="24"/>
          <w:szCs w:val="24"/>
        </w:rPr>
        <w:t>Ha a</w:t>
      </w:r>
      <w:r w:rsidR="007E2FD4" w:rsidRPr="00263C55">
        <w:rPr>
          <w:rFonts w:ascii="Times New Roman" w:hAnsi="Times New Roman" w:cs="Times New Roman"/>
          <w:sz w:val="24"/>
          <w:szCs w:val="24"/>
        </w:rPr>
        <w:t xml:space="preserve"> kellő időbenbemutatott csekk kifizetését a bank megtagadja, a csekkbirtokosmegtérítési igényt érvényesíthet a kibocsátó az átruházók és atöbbi csekk-kötelezett ellen. </w:t>
      </w:r>
    </w:p>
    <w:p w:rsidR="00FE3C19" w:rsidRPr="00263C55" w:rsidRDefault="00FE3C19" w:rsidP="00263C55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55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A bemutatóra szóló csekk annak a bemutatóját nem legitimálja, nem őt kell a csekkösszeg felvételére jogosultnak tekinteni.</w:t>
      </w:r>
    </w:p>
    <w:p w:rsidR="00FE3C19" w:rsidRPr="00263C55" w:rsidRDefault="00FE3C19" w:rsidP="00263C55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Kötvény vásárlásakor a jogosult nyújt hitelt a kibocsátónak</w:t>
      </w:r>
    </w:p>
    <w:p w:rsidR="00FE3C19" w:rsidRPr="00263C55" w:rsidRDefault="00FE3C19" w:rsidP="00263C55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 nyomdai úton előállított jelzáloglevélben kikötött kamat, valamint tőketörlesztési részletekről kamat- és tőketörlesztő szelvényeket kell kiállítani</w:t>
      </w:r>
    </w:p>
    <w:p w:rsidR="00FE3C19" w:rsidRPr="00263C55" w:rsidRDefault="00FE3C19" w:rsidP="00263C55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 forgalmazás, vagyis a befektetési jegyek adásvétele nyíltvégű alapok esetében ún. napi nettó eszközértéken - gyakorlatilag árfolyamon – történik</w:t>
      </w:r>
    </w:p>
    <w:p w:rsidR="00263C55" w:rsidRPr="00263C55" w:rsidRDefault="00263C55" w:rsidP="00263C55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C19" w:rsidRPr="00263C55" w:rsidRDefault="00D475A2" w:rsidP="00263C5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55">
        <w:rPr>
          <w:rFonts w:ascii="Times New Roman" w:hAnsi="Times New Roman" w:cs="Times New Roman"/>
          <w:sz w:val="24"/>
          <w:szCs w:val="24"/>
        </w:rPr>
        <w:t>Fogalmak</w:t>
      </w:r>
    </w:p>
    <w:p w:rsidR="00263C55" w:rsidRPr="00263C55" w:rsidRDefault="00263C55" w:rsidP="00263C55">
      <w:pPr>
        <w:pStyle w:val="Listaszerbekezds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4531"/>
        <w:gridCol w:w="4531"/>
      </w:tblGrid>
      <w:tr w:rsidR="00D475A2" w:rsidRPr="00263C55" w:rsidTr="00D475A2">
        <w:trPr>
          <w:trHeight w:val="1565"/>
        </w:trPr>
        <w:tc>
          <w:tcPr>
            <w:tcW w:w="4531" w:type="dxa"/>
          </w:tcPr>
          <w:p w:rsidR="00D475A2" w:rsidRPr="00263C55" w:rsidRDefault="00D475A2" w:rsidP="00263C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55">
              <w:rPr>
                <w:rFonts w:ascii="Times New Roman" w:hAnsi="Times New Roman" w:cs="Times New Roman"/>
                <w:sz w:val="24"/>
                <w:szCs w:val="24"/>
              </w:rPr>
              <w:t>Befektetési jegy</w:t>
            </w:r>
          </w:p>
        </w:tc>
        <w:tc>
          <w:tcPr>
            <w:tcW w:w="4531" w:type="dxa"/>
          </w:tcPr>
          <w:p w:rsidR="00D475A2" w:rsidRPr="00263C55" w:rsidRDefault="00D475A2" w:rsidP="00263C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A2" w:rsidRPr="00263C55" w:rsidTr="00D475A2">
        <w:tc>
          <w:tcPr>
            <w:tcW w:w="4531" w:type="dxa"/>
          </w:tcPr>
          <w:p w:rsidR="00D475A2" w:rsidRPr="00263C55" w:rsidRDefault="00D475A2" w:rsidP="00263C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475A2" w:rsidRPr="00263C55" w:rsidRDefault="00D475A2" w:rsidP="00263C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55">
              <w:rPr>
                <w:rFonts w:ascii="Times New Roman" w:hAnsi="Times New Roman" w:cs="Times New Roman"/>
                <w:sz w:val="24"/>
                <w:szCs w:val="24"/>
              </w:rPr>
              <w:t>Az a személy, aki a befektetési szolgáltatóval, befektetési alapkezelővel, árutőzsdei szolgáltatóval, vagy más befektetővel kötött szerződés alapján saját vagy más pénzét, egyéb vagyontárgyát részben vagy egészben a tőkepiac, illetve a tőzsde hatásaitól teszi függővé, kockáztatja</w:t>
            </w:r>
          </w:p>
        </w:tc>
      </w:tr>
      <w:tr w:rsidR="00D475A2" w:rsidRPr="00263C55" w:rsidTr="00D475A2">
        <w:trPr>
          <w:trHeight w:val="1897"/>
        </w:trPr>
        <w:tc>
          <w:tcPr>
            <w:tcW w:w="4531" w:type="dxa"/>
          </w:tcPr>
          <w:p w:rsidR="00D475A2" w:rsidRPr="00263C55" w:rsidRDefault="00D475A2" w:rsidP="00263C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Dematerializált értékpapír</w:t>
            </w:r>
          </w:p>
        </w:tc>
        <w:tc>
          <w:tcPr>
            <w:tcW w:w="4531" w:type="dxa"/>
          </w:tcPr>
          <w:p w:rsidR="00D475A2" w:rsidRPr="00263C55" w:rsidRDefault="00D475A2" w:rsidP="00263C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A2" w:rsidRPr="00263C55" w:rsidTr="00D475A2">
        <w:trPr>
          <w:trHeight w:val="1981"/>
        </w:trPr>
        <w:tc>
          <w:tcPr>
            <w:tcW w:w="4531" w:type="dxa"/>
          </w:tcPr>
          <w:p w:rsidR="00D475A2" w:rsidRPr="00263C55" w:rsidRDefault="00D475A2" w:rsidP="00263C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55">
              <w:rPr>
                <w:rFonts w:ascii="Times New Roman" w:hAnsi="Times New Roman" w:cs="Times New Roman"/>
                <w:sz w:val="24"/>
                <w:szCs w:val="24"/>
              </w:rPr>
              <w:t>Értékpapír</w:t>
            </w:r>
          </w:p>
        </w:tc>
        <w:tc>
          <w:tcPr>
            <w:tcW w:w="4531" w:type="dxa"/>
          </w:tcPr>
          <w:p w:rsidR="00D475A2" w:rsidRPr="00263C55" w:rsidRDefault="00D475A2" w:rsidP="00263C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A2" w:rsidRPr="00263C55" w:rsidTr="00D475A2">
        <w:tc>
          <w:tcPr>
            <w:tcW w:w="4531" w:type="dxa"/>
          </w:tcPr>
          <w:p w:rsidR="00D475A2" w:rsidRPr="00263C55" w:rsidRDefault="00D475A2" w:rsidP="00263C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475A2" w:rsidRPr="00263C55" w:rsidRDefault="00D475A2" w:rsidP="00263C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55">
              <w:rPr>
                <w:rFonts w:ascii="Times New Roman" w:hAnsi="Times New Roman" w:cs="Times New Roman"/>
                <w:sz w:val="24"/>
                <w:szCs w:val="24"/>
              </w:rPr>
              <w:t>Az értékpapír tulajdonjogának első ízben történő keletkeztetésére irányuló eljárás; (A forgalomba hozatal jegyzés, aukció, folyamatos kibocsátás, vagy adagolt kibocsátás útján történhet.)</w:t>
            </w:r>
          </w:p>
        </w:tc>
      </w:tr>
    </w:tbl>
    <w:p w:rsidR="00D475A2" w:rsidRPr="00263C55" w:rsidRDefault="00D475A2" w:rsidP="00263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A2" w:rsidRPr="00263C55" w:rsidRDefault="00D475A2" w:rsidP="00263C5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55">
        <w:rPr>
          <w:rFonts w:ascii="Times New Roman" w:hAnsi="Times New Roman" w:cs="Times New Roman"/>
          <w:sz w:val="24"/>
          <w:szCs w:val="24"/>
        </w:rPr>
        <w:t xml:space="preserve">Töltse ki az alábbi csoportosítást! (Egy elem több helyre is beírható) </w:t>
      </w:r>
    </w:p>
    <w:tbl>
      <w:tblPr>
        <w:tblStyle w:val="Rcsostblzat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D475A2" w:rsidRPr="00263C55" w:rsidTr="00D475A2">
        <w:tc>
          <w:tcPr>
            <w:tcW w:w="1812" w:type="dxa"/>
          </w:tcPr>
          <w:p w:rsidR="00D475A2" w:rsidRPr="00263C55" w:rsidRDefault="00D475A2" w:rsidP="00263C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55">
              <w:rPr>
                <w:rFonts w:ascii="Times New Roman" w:hAnsi="Times New Roman" w:cs="Times New Roman"/>
                <w:sz w:val="24"/>
                <w:szCs w:val="24"/>
              </w:rPr>
              <w:t>Váltó</w:t>
            </w:r>
          </w:p>
        </w:tc>
        <w:tc>
          <w:tcPr>
            <w:tcW w:w="1812" w:type="dxa"/>
          </w:tcPr>
          <w:p w:rsidR="00D475A2" w:rsidRPr="00263C55" w:rsidRDefault="00D475A2" w:rsidP="00263C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55">
              <w:rPr>
                <w:rFonts w:ascii="Times New Roman" w:hAnsi="Times New Roman" w:cs="Times New Roman"/>
                <w:sz w:val="24"/>
                <w:szCs w:val="24"/>
              </w:rPr>
              <w:t>Csekk</w:t>
            </w:r>
          </w:p>
        </w:tc>
        <w:tc>
          <w:tcPr>
            <w:tcW w:w="1812" w:type="dxa"/>
          </w:tcPr>
          <w:p w:rsidR="00D475A2" w:rsidRPr="00263C55" w:rsidRDefault="00D475A2" w:rsidP="00263C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55">
              <w:rPr>
                <w:rFonts w:ascii="Times New Roman" w:hAnsi="Times New Roman" w:cs="Times New Roman"/>
                <w:sz w:val="24"/>
                <w:szCs w:val="24"/>
              </w:rPr>
              <w:t xml:space="preserve">Kötvény </w:t>
            </w:r>
          </w:p>
        </w:tc>
        <w:tc>
          <w:tcPr>
            <w:tcW w:w="1813" w:type="dxa"/>
          </w:tcPr>
          <w:p w:rsidR="00D475A2" w:rsidRPr="00263C55" w:rsidRDefault="00D475A2" w:rsidP="00263C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55">
              <w:rPr>
                <w:rFonts w:ascii="Times New Roman" w:hAnsi="Times New Roman" w:cs="Times New Roman"/>
                <w:sz w:val="24"/>
                <w:szCs w:val="24"/>
              </w:rPr>
              <w:t>Jelzáloglevél</w:t>
            </w:r>
          </w:p>
        </w:tc>
        <w:tc>
          <w:tcPr>
            <w:tcW w:w="1813" w:type="dxa"/>
          </w:tcPr>
          <w:p w:rsidR="00D475A2" w:rsidRPr="00263C55" w:rsidRDefault="00D475A2" w:rsidP="00263C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55">
              <w:rPr>
                <w:rFonts w:ascii="Times New Roman" w:hAnsi="Times New Roman" w:cs="Times New Roman"/>
                <w:sz w:val="24"/>
                <w:szCs w:val="24"/>
              </w:rPr>
              <w:t>Befektetési jegy</w:t>
            </w:r>
          </w:p>
        </w:tc>
      </w:tr>
      <w:tr w:rsidR="00D475A2" w:rsidRPr="00263C55" w:rsidTr="00D475A2">
        <w:tc>
          <w:tcPr>
            <w:tcW w:w="1812" w:type="dxa"/>
          </w:tcPr>
          <w:p w:rsidR="00D475A2" w:rsidRPr="00263C55" w:rsidRDefault="00D475A2" w:rsidP="00263C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5A2" w:rsidRPr="00263C55" w:rsidRDefault="00D475A2" w:rsidP="00263C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5A2" w:rsidRPr="00263C55" w:rsidRDefault="00D475A2" w:rsidP="00263C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475A2" w:rsidRPr="00263C55" w:rsidRDefault="00D475A2" w:rsidP="00263C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475A2" w:rsidRPr="00263C55" w:rsidRDefault="00D475A2" w:rsidP="00263C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5A2" w:rsidRPr="00263C55" w:rsidRDefault="00D475A2" w:rsidP="00263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A2" w:rsidRPr="00263C55" w:rsidRDefault="00D475A2" w:rsidP="00263C5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63C55">
        <w:rPr>
          <w:rFonts w:ascii="Times New Roman" w:hAnsi="Times New Roman" w:cs="Times New Roman"/>
          <w:sz w:val="24"/>
          <w:szCs w:val="24"/>
        </w:rPr>
        <w:t xml:space="preserve">a, </w:t>
      </w:r>
      <w:r w:rsidR="00BA1067" w:rsidRPr="00263C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</w:t>
      </w:r>
      <w:r w:rsidRPr="00263C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eghatározott pénzösszeg fizetésére szóló feltétlen meghagyás</w:t>
      </w:r>
    </w:p>
    <w:p w:rsidR="00D475A2" w:rsidRPr="00263C55" w:rsidRDefault="00D475A2" w:rsidP="00263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55">
        <w:rPr>
          <w:rFonts w:ascii="Times New Roman" w:hAnsi="Times New Roman" w:cs="Times New Roman"/>
          <w:sz w:val="24"/>
          <w:szCs w:val="24"/>
        </w:rPr>
        <w:t>b, Absztrakt jogügylet</w:t>
      </w:r>
    </w:p>
    <w:p w:rsidR="00D475A2" w:rsidRPr="00263C55" w:rsidRDefault="00D475A2" w:rsidP="00263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55">
        <w:rPr>
          <w:rFonts w:ascii="Times New Roman" w:hAnsi="Times New Roman" w:cs="Times New Roman"/>
          <w:sz w:val="24"/>
          <w:szCs w:val="24"/>
        </w:rPr>
        <w:t>c, Leszámítolható</w:t>
      </w:r>
    </w:p>
    <w:p w:rsidR="00D475A2" w:rsidRPr="00263C55" w:rsidRDefault="00D475A2" w:rsidP="00263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55">
        <w:rPr>
          <w:rFonts w:ascii="Times New Roman" w:hAnsi="Times New Roman" w:cs="Times New Roman"/>
          <w:sz w:val="24"/>
          <w:szCs w:val="24"/>
        </w:rPr>
        <w:t>d, Alapja egy csekkszerződés</w:t>
      </w:r>
    </w:p>
    <w:p w:rsidR="00D475A2" w:rsidRPr="00263C55" w:rsidRDefault="00D475A2" w:rsidP="00263C5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3C55">
        <w:rPr>
          <w:rFonts w:ascii="Times New Roman" w:hAnsi="Times New Roman" w:cs="Times New Roman"/>
          <w:sz w:val="24"/>
          <w:szCs w:val="24"/>
        </w:rPr>
        <w:t xml:space="preserve">e, A </w:t>
      </w:r>
      <w:r w:rsidRPr="00263C5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  <w:t>kibocsátó (az adós) arra kötelezi magát, hogy az ott megjelölt pénzösszegnek az előre meghatározott kamatát vagy egyéb jutalékait valamint az általa vállalt esetleges egyéb szolgáltatásokat (kamat)továbbá a pénzösszeget a kötvény mindenkori tulajdonosának illetve jogosultjának (a hitelezőnek) a megjelölt időben és módon megfizeti, illetőleg teljesíti</w:t>
      </w:r>
    </w:p>
    <w:p w:rsidR="00D475A2" w:rsidRPr="00263C55" w:rsidRDefault="00D475A2" w:rsidP="00263C5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3C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f, Ezen értékpapír megvásárlásakor a jogosult nyújt hitelt a kibocsátónak. </w:t>
      </w:r>
    </w:p>
    <w:p w:rsidR="00D475A2" w:rsidRPr="00263C55" w:rsidRDefault="00D475A2" w:rsidP="00263C55">
      <w:pPr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</w:pPr>
      <w:r w:rsidRPr="00263C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g, </w:t>
      </w:r>
      <w:r w:rsidRPr="00263C5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  <w:t>devizabelföldi természetes és jogi személyek, valamint jogi személyiség nélküli gazdasági társaságok által.</w:t>
      </w:r>
    </w:p>
    <w:p w:rsidR="00D475A2" w:rsidRPr="00263C55" w:rsidRDefault="00D475A2" w:rsidP="00263C55">
      <w:pPr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</w:pPr>
      <w:r w:rsidRPr="00263C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h, </w:t>
      </w:r>
      <w:r w:rsidR="00BA1067" w:rsidRPr="00263C55">
        <w:rPr>
          <w:rFonts w:ascii="Times New Roman" w:eastAsia="Times New Roman" w:hAnsi="Times New Roman" w:cs="Times New Roman"/>
          <w:sz w:val="24"/>
          <w:szCs w:val="24"/>
          <w:lang w:eastAsia="hu-HU"/>
        </w:rPr>
        <w:t>Ezen értékpapírok esetén a</w:t>
      </w:r>
      <w:r w:rsidRPr="00263C5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  <w:t xml:space="preserve"> jelzálog-hitelintézetnek mindenkor rendelkeznie kell a forgalomban levő </w:t>
      </w:r>
      <w:r w:rsidR="00BA1067" w:rsidRPr="00263C5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  <w:t xml:space="preserve">értékpapírok </w:t>
      </w:r>
      <w:r w:rsidRPr="00263C5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  <w:t>még nem törlesztett névértéke és kamata összegét meghaladó értékű fedezettel. A fedezet rendes fedezetet és pótfedezetet tartalmazhat.</w:t>
      </w:r>
    </w:p>
    <w:p w:rsidR="00BA1067" w:rsidRPr="00263C55" w:rsidRDefault="00BA1067" w:rsidP="00263C5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3C5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j, Nyomdai úton előállított. </w:t>
      </w:r>
    </w:p>
    <w:p w:rsidR="00BA1067" w:rsidRPr="00263C55" w:rsidRDefault="00BA1067" w:rsidP="00263C5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3C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k, Kizárólag szakosított hitelintézet bocsáthatja ki. </w:t>
      </w:r>
    </w:p>
    <w:p w:rsidR="00BA1067" w:rsidRPr="00263C55" w:rsidRDefault="00BA1067" w:rsidP="00263C5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3C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l, Alakilag legitimálja a jogosultat. </w:t>
      </w:r>
    </w:p>
    <w:p w:rsidR="00D475A2" w:rsidRPr="00263C55" w:rsidRDefault="00D475A2" w:rsidP="00263C5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75A2" w:rsidRPr="00263C55" w:rsidRDefault="00D475A2" w:rsidP="00263C5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75A2" w:rsidRPr="00263C55" w:rsidRDefault="00D475A2" w:rsidP="00263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75A2" w:rsidRPr="00263C55" w:rsidSect="005F1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CE0" w:rsidRDefault="004C6CE0" w:rsidP="001A1291">
      <w:pPr>
        <w:spacing w:after="0" w:line="240" w:lineRule="auto"/>
      </w:pPr>
      <w:r>
        <w:separator/>
      </w:r>
    </w:p>
  </w:endnote>
  <w:endnote w:type="continuationSeparator" w:id="1">
    <w:p w:rsidR="004C6CE0" w:rsidRDefault="004C6CE0" w:rsidP="001A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CE0" w:rsidRDefault="004C6CE0" w:rsidP="001A1291">
      <w:pPr>
        <w:spacing w:after="0" w:line="240" w:lineRule="auto"/>
      </w:pPr>
      <w:r>
        <w:separator/>
      </w:r>
    </w:p>
  </w:footnote>
  <w:footnote w:type="continuationSeparator" w:id="1">
    <w:p w:rsidR="004C6CE0" w:rsidRDefault="004C6CE0" w:rsidP="001A1291">
      <w:pPr>
        <w:spacing w:after="0" w:line="240" w:lineRule="auto"/>
      </w:pPr>
      <w:r>
        <w:continuationSeparator/>
      </w:r>
    </w:p>
  </w:footnote>
  <w:footnote w:id="2">
    <w:p w:rsidR="00AF19AD" w:rsidRPr="00AF19AD" w:rsidRDefault="00AF19AD">
      <w:pPr>
        <w:pStyle w:val="Lbjegyzetszveg"/>
        <w:rPr>
          <w:rFonts w:ascii="Times New Roman" w:hAnsi="Times New Roman" w:cs="Times New Roman"/>
        </w:rPr>
      </w:pPr>
      <w:r w:rsidRPr="00AF19AD">
        <w:rPr>
          <w:rStyle w:val="Lbjegyzet-hivatkozs"/>
          <w:rFonts w:ascii="Times New Roman" w:hAnsi="Times New Roman" w:cs="Times New Roman"/>
        </w:rPr>
        <w:footnoteRef/>
      </w:r>
      <w:r w:rsidRPr="00AF19AD">
        <w:rPr>
          <w:rFonts w:ascii="Times New Roman" w:hAnsi="Times New Roman" w:cs="Times New Roman"/>
        </w:rPr>
        <w:t xml:space="preserve"> Készítette dr. Paja Gábor, SZTE-ÁJTK Üzleti Jogi Intézet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A1A"/>
    <w:multiLevelType w:val="hybridMultilevel"/>
    <w:tmpl w:val="E1CCEECC"/>
    <w:lvl w:ilvl="0" w:tplc="A21CB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ACA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A03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7A3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088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20C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F27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005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C4D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AE6DB4"/>
    <w:multiLevelType w:val="hybridMultilevel"/>
    <w:tmpl w:val="A18CFAD4"/>
    <w:lvl w:ilvl="0" w:tplc="5D76E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EC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807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841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300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AE1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D8B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1A9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605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A700ECB"/>
    <w:multiLevelType w:val="hybridMultilevel"/>
    <w:tmpl w:val="556A25F4"/>
    <w:lvl w:ilvl="0" w:tplc="6576C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46C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DC9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887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AE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004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FE3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F4C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2F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2273C8"/>
    <w:multiLevelType w:val="hybridMultilevel"/>
    <w:tmpl w:val="FDA42D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872F5"/>
    <w:multiLevelType w:val="hybridMultilevel"/>
    <w:tmpl w:val="4C245672"/>
    <w:lvl w:ilvl="0" w:tplc="36689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72042"/>
    <w:multiLevelType w:val="hybridMultilevel"/>
    <w:tmpl w:val="7CCC1EDC"/>
    <w:lvl w:ilvl="0" w:tplc="414C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E65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845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E6E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906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DAB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8C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CB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20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2405C92"/>
    <w:multiLevelType w:val="hybridMultilevel"/>
    <w:tmpl w:val="487AFB44"/>
    <w:lvl w:ilvl="0" w:tplc="FBB4B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BC4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6E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98A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A88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EE0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469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D65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0A2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6DF097D"/>
    <w:multiLevelType w:val="hybridMultilevel"/>
    <w:tmpl w:val="79064A06"/>
    <w:lvl w:ilvl="0" w:tplc="5992A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20E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F4C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788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34A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381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20E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A23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9CC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291"/>
    <w:rsid w:val="001A1291"/>
    <w:rsid w:val="00263C55"/>
    <w:rsid w:val="00403F71"/>
    <w:rsid w:val="004C6CE0"/>
    <w:rsid w:val="004F62CC"/>
    <w:rsid w:val="005F1DA4"/>
    <w:rsid w:val="007E2FD4"/>
    <w:rsid w:val="00865A04"/>
    <w:rsid w:val="00AF19AD"/>
    <w:rsid w:val="00BA1067"/>
    <w:rsid w:val="00CF4E4A"/>
    <w:rsid w:val="00D475A2"/>
    <w:rsid w:val="00DB66CD"/>
    <w:rsid w:val="00DE6AA0"/>
    <w:rsid w:val="00FE3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1DA4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129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A129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A129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A1291"/>
    <w:rPr>
      <w:vertAlign w:val="superscript"/>
    </w:rPr>
  </w:style>
  <w:style w:type="table" w:styleId="Rcsostblzat">
    <w:name w:val="Table Grid"/>
    <w:basedOn w:val="Normltblzat"/>
    <w:uiPriority w:val="39"/>
    <w:rsid w:val="00D47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F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1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68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6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70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09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DA6649-0FBB-404E-BC7C-F4EA8579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 Dr. Paja</dc:creator>
  <cp:lastModifiedBy>Windows-felhasználó</cp:lastModifiedBy>
  <cp:revision>2</cp:revision>
  <dcterms:created xsi:type="dcterms:W3CDTF">2018-11-30T21:27:00Z</dcterms:created>
  <dcterms:modified xsi:type="dcterms:W3CDTF">2018-11-30T21:27:00Z</dcterms:modified>
</cp:coreProperties>
</file>