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Rcsostblzat"/>
        <w:tblW w:w="8970"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shd w:val="clear" w:color="auto" w:fill="B4C6E7" w:themeFill="accent1" w:themeFillTint="66"/>
        <w:tblLook w:val="04A0" w:firstRow="1" w:lastRow="0" w:firstColumn="1" w:lastColumn="0" w:noHBand="0" w:noVBand="1"/>
      </w:tblPr>
      <w:tblGrid>
        <w:gridCol w:w="5557"/>
        <w:gridCol w:w="1726"/>
        <w:gridCol w:w="1687"/>
      </w:tblGrid>
      <w:tr w:rsidR="004272AF" w14:paraId="36707708" w14:textId="77777777" w:rsidTr="00107129">
        <w:trPr>
          <w:trHeight w:val="2406"/>
        </w:trPr>
        <w:tc>
          <w:tcPr>
            <w:tcW w:w="0" w:type="auto"/>
            <w:shd w:val="clear" w:color="auto" w:fill="B4C6E7" w:themeFill="accent1" w:themeFillTint="66"/>
            <w:vAlign w:val="center"/>
          </w:tcPr>
          <w:p w14:paraId="7A647EB3" w14:textId="03E98189" w:rsidR="004272AF" w:rsidRPr="004272AF" w:rsidRDefault="004272AF" w:rsidP="004272AF">
            <w:pPr>
              <w:spacing w:after="160" w:line="259" w:lineRule="auto"/>
              <w:jc w:val="center"/>
              <w:rPr>
                <w:rFonts w:ascii="Times New Roman" w:hAnsi="Times New Roman" w:cs="Times New Roman"/>
                <w:b/>
                <w:bCs/>
                <w:sz w:val="32"/>
                <w:szCs w:val="32"/>
              </w:rPr>
            </w:pPr>
            <w:bookmarkStart w:id="0" w:name="_Toc34935737"/>
            <w:bookmarkStart w:id="1" w:name="_Toc34935700"/>
            <w:bookmarkStart w:id="2" w:name="_Toc36469591"/>
            <w:bookmarkStart w:id="3" w:name="_Hlk46008883"/>
            <w:r w:rsidRPr="004272AF">
              <w:rPr>
                <w:rFonts w:ascii="Times New Roman" w:hAnsi="Times New Roman" w:cs="Times New Roman"/>
                <w:b/>
                <w:bCs/>
                <w:sz w:val="32"/>
                <w:szCs w:val="32"/>
              </w:rPr>
              <w:t>Európai kísérletek az árfolyamkockázat kezelésére</w:t>
            </w:r>
          </w:p>
        </w:tc>
        <w:tc>
          <w:tcPr>
            <w:tcW w:w="0" w:type="auto"/>
            <w:shd w:val="clear" w:color="auto" w:fill="B4C6E7" w:themeFill="accent1" w:themeFillTint="66"/>
            <w:vAlign w:val="center"/>
          </w:tcPr>
          <w:p w14:paraId="7C5D8EF6" w14:textId="77777777" w:rsidR="004272AF" w:rsidRPr="00A31DCF" w:rsidRDefault="004272AF" w:rsidP="00107129">
            <w:pPr>
              <w:jc w:val="center"/>
              <w:rPr>
                <w:rFonts w:ascii="Times New Roman" w:hAnsi="Times New Roman" w:cs="Times New Roman"/>
                <w:b/>
                <w:bCs/>
                <w:sz w:val="28"/>
                <w:szCs w:val="28"/>
              </w:rPr>
            </w:pPr>
            <w:r w:rsidRPr="00A31DCF">
              <w:rPr>
                <w:rFonts w:ascii="Times New Roman" w:hAnsi="Times New Roman" w:cs="Times New Roman"/>
                <w:b/>
                <w:bCs/>
                <w:sz w:val="28"/>
                <w:szCs w:val="28"/>
              </w:rPr>
              <w:t>Olvasási idő:</w:t>
            </w:r>
          </w:p>
          <w:p w14:paraId="2C426FF9" w14:textId="43D6D898" w:rsidR="004272AF" w:rsidRPr="00A31DCF" w:rsidRDefault="004272AF" w:rsidP="00107129">
            <w:pPr>
              <w:jc w:val="center"/>
              <w:rPr>
                <w:rFonts w:ascii="Times New Roman" w:hAnsi="Times New Roman" w:cs="Times New Roman"/>
                <w:b/>
                <w:bCs/>
                <w:sz w:val="28"/>
                <w:szCs w:val="28"/>
              </w:rPr>
            </w:pPr>
            <w:r>
              <w:rPr>
                <w:rFonts w:ascii="Times New Roman" w:hAnsi="Times New Roman" w:cs="Times New Roman"/>
                <w:b/>
                <w:bCs/>
                <w:sz w:val="28"/>
                <w:szCs w:val="28"/>
              </w:rPr>
              <w:t>10</w:t>
            </w:r>
            <w:r w:rsidRPr="00A31DCF">
              <w:rPr>
                <w:rFonts w:ascii="Times New Roman" w:hAnsi="Times New Roman" w:cs="Times New Roman"/>
                <w:b/>
                <w:bCs/>
                <w:sz w:val="28"/>
                <w:szCs w:val="28"/>
              </w:rPr>
              <w:t xml:space="preserve"> perc</w:t>
            </w:r>
          </w:p>
          <w:p w14:paraId="0BCE7FFF" w14:textId="77777777" w:rsidR="004272AF" w:rsidRPr="001A5ED6" w:rsidRDefault="004272AF" w:rsidP="00107129">
            <w:pPr>
              <w:jc w:val="center"/>
              <w:rPr>
                <w:rFonts w:ascii="Times New Roman" w:hAnsi="Times New Roman" w:cs="Times New Roman"/>
                <w:b/>
                <w:bCs/>
                <w:sz w:val="24"/>
                <w:szCs w:val="24"/>
              </w:rPr>
            </w:pPr>
            <w:r>
              <w:rPr>
                <w:rFonts w:ascii="Times New Roman" w:hAnsi="Times New Roman" w:cs="Times New Roman"/>
                <w:b/>
                <w:bCs/>
                <w:noProof/>
                <w:sz w:val="24"/>
                <w:szCs w:val="24"/>
                <w:lang w:eastAsia="hu-HU"/>
              </w:rPr>
              <w:drawing>
                <wp:inline distT="0" distB="0" distL="0" distR="0" wp14:anchorId="13932D00" wp14:editId="10320A3B">
                  <wp:extent cx="914400" cy="914400"/>
                  <wp:effectExtent l="0" t="0" r="0" b="0"/>
                  <wp:docPr id="10" name="Ábra 10" descr="Homokóra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ourglassfull1.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8"/>
                              </a:ext>
                            </a:extLst>
                          </a:blip>
                          <a:stretch>
                            <a:fillRect/>
                          </a:stretch>
                        </pic:blipFill>
                        <pic:spPr>
                          <a:xfrm>
                            <a:off x="0" y="0"/>
                            <a:ext cx="914400" cy="914400"/>
                          </a:xfrm>
                          <a:prstGeom prst="rect">
                            <a:avLst/>
                          </a:prstGeom>
                        </pic:spPr>
                      </pic:pic>
                    </a:graphicData>
                  </a:graphic>
                </wp:inline>
              </w:drawing>
            </w:r>
          </w:p>
        </w:tc>
        <w:tc>
          <w:tcPr>
            <w:tcW w:w="0" w:type="auto"/>
            <w:shd w:val="clear" w:color="auto" w:fill="B4C6E7" w:themeFill="accent1" w:themeFillTint="66"/>
            <w:vAlign w:val="center"/>
          </w:tcPr>
          <w:p w14:paraId="0C1119A1" w14:textId="77777777" w:rsidR="004272AF" w:rsidRDefault="004272AF" w:rsidP="00107129">
            <w:pPr>
              <w:jc w:val="center"/>
              <w:rPr>
                <w:rFonts w:ascii="Times New Roman" w:hAnsi="Times New Roman" w:cs="Times New Roman"/>
                <w:b/>
                <w:bCs/>
                <w:sz w:val="24"/>
                <w:szCs w:val="24"/>
              </w:rPr>
            </w:pPr>
            <w:r>
              <w:rPr>
                <w:rFonts w:ascii="Times New Roman" w:hAnsi="Times New Roman" w:cs="Times New Roman"/>
                <w:b/>
                <w:bCs/>
                <w:sz w:val="24"/>
                <w:szCs w:val="24"/>
              </w:rPr>
              <w:t>Készítette:</w:t>
            </w:r>
          </w:p>
          <w:p w14:paraId="0710ED9D" w14:textId="77777777" w:rsidR="004272AF" w:rsidRDefault="004272AF" w:rsidP="00107129">
            <w:pPr>
              <w:jc w:val="center"/>
              <w:rPr>
                <w:rFonts w:ascii="Times New Roman" w:hAnsi="Times New Roman" w:cs="Times New Roman"/>
                <w:b/>
                <w:bCs/>
                <w:sz w:val="24"/>
                <w:szCs w:val="24"/>
              </w:rPr>
            </w:pPr>
            <w:r>
              <w:rPr>
                <w:rFonts w:ascii="Times New Roman" w:hAnsi="Times New Roman" w:cs="Times New Roman"/>
                <w:b/>
                <w:bCs/>
                <w:sz w:val="24"/>
                <w:szCs w:val="24"/>
              </w:rPr>
              <w:t>Máté Andor</w:t>
            </w:r>
          </w:p>
          <w:p w14:paraId="2F785563" w14:textId="77777777" w:rsidR="004272AF" w:rsidRPr="001724FD" w:rsidRDefault="004272AF" w:rsidP="00107129">
            <w:pPr>
              <w:jc w:val="center"/>
              <w:rPr>
                <w:rFonts w:ascii="Times New Roman" w:hAnsi="Times New Roman" w:cs="Times New Roman"/>
                <w:b/>
                <w:bCs/>
                <w:sz w:val="24"/>
                <w:szCs w:val="24"/>
              </w:rPr>
            </w:pPr>
            <w:r>
              <w:rPr>
                <w:rFonts w:ascii="Times New Roman" w:hAnsi="Times New Roman" w:cs="Times New Roman"/>
                <w:b/>
                <w:bCs/>
                <w:noProof/>
                <w:sz w:val="24"/>
                <w:szCs w:val="24"/>
                <w:lang w:eastAsia="hu-HU"/>
              </w:rPr>
              <w:drawing>
                <wp:inline distT="0" distB="0" distL="0" distR="0" wp14:anchorId="6ABF39DF" wp14:editId="451C01F1">
                  <wp:extent cx="934276" cy="1362075"/>
                  <wp:effectExtent l="0" t="0" r="0" b="0"/>
                  <wp:docPr id="4" name="Kép 4" descr="A képen nyakkendő, személy, öltöny, beltéri látható&#10;&#10;Automatikusan generált le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15453501_570627576951535_8901047626072411569_n.png"/>
                          <pic:cNvPicPr/>
                        </pic:nvPicPr>
                        <pic:blipFill>
                          <a:blip r:embed="rId9">
                            <a:extLst>
                              <a:ext uri="{BEBA8EAE-BF5A-486C-A8C5-ECC9F3942E4B}">
                                <a14:imgProps xmlns:a14="http://schemas.microsoft.com/office/drawing/2010/main">
                                  <a14:imgLayer r:embed="rId10">
                                    <a14:imgEffect>
                                      <a14:colorTemperature colorTemp="5900"/>
                                    </a14:imgEffect>
                                  </a14:imgLayer>
                                </a14:imgProps>
                              </a:ext>
                              <a:ext uri="{28A0092B-C50C-407E-A947-70E740481C1C}">
                                <a14:useLocalDpi xmlns:a14="http://schemas.microsoft.com/office/drawing/2010/main" val="0"/>
                              </a:ext>
                            </a:extLst>
                          </a:blip>
                          <a:stretch>
                            <a:fillRect/>
                          </a:stretch>
                        </pic:blipFill>
                        <pic:spPr>
                          <a:xfrm>
                            <a:off x="0" y="0"/>
                            <a:ext cx="966192" cy="1408604"/>
                          </a:xfrm>
                          <a:prstGeom prst="rect">
                            <a:avLst/>
                          </a:prstGeom>
                        </pic:spPr>
                      </pic:pic>
                    </a:graphicData>
                  </a:graphic>
                </wp:inline>
              </w:drawing>
            </w:r>
          </w:p>
        </w:tc>
      </w:tr>
    </w:tbl>
    <w:p w14:paraId="18D31027" w14:textId="77777777" w:rsidR="00495E6A" w:rsidRPr="004272AF" w:rsidRDefault="00495E6A" w:rsidP="00495E6A">
      <w:pPr>
        <w:spacing w:before="120" w:after="120"/>
        <w:rPr>
          <w:rFonts w:ascii="Times New Roman" w:hAnsi="Times New Roman" w:cs="Times New Roman"/>
          <w:b/>
          <w:bCs/>
          <w:i/>
          <w:iCs/>
          <w:color w:val="0070C0"/>
          <w:sz w:val="28"/>
          <w:szCs w:val="28"/>
          <w:u w:val="single"/>
        </w:rPr>
      </w:pPr>
      <w:bookmarkStart w:id="4" w:name="_Toc1997838"/>
      <w:bookmarkStart w:id="5" w:name="_Toc34935738"/>
      <w:bookmarkEnd w:id="0"/>
      <w:bookmarkEnd w:id="1"/>
      <w:bookmarkEnd w:id="2"/>
      <w:bookmarkEnd w:id="3"/>
      <w:proofErr w:type="spellStart"/>
      <w:r w:rsidRPr="004272AF">
        <w:rPr>
          <w:rFonts w:ascii="Times New Roman" w:hAnsi="Times New Roman" w:cs="Times New Roman"/>
          <w:b/>
          <w:bCs/>
          <w:i/>
          <w:iCs/>
          <w:color w:val="0070C0"/>
          <w:sz w:val="28"/>
          <w:szCs w:val="28"/>
          <w:u w:val="single"/>
        </w:rPr>
        <w:t>Europe’s</w:t>
      </w:r>
      <w:proofErr w:type="spellEnd"/>
      <w:r w:rsidRPr="004272AF">
        <w:rPr>
          <w:rFonts w:ascii="Times New Roman" w:hAnsi="Times New Roman" w:cs="Times New Roman"/>
          <w:b/>
          <w:bCs/>
          <w:i/>
          <w:iCs/>
          <w:color w:val="0070C0"/>
          <w:sz w:val="28"/>
          <w:szCs w:val="28"/>
          <w:u w:val="single"/>
        </w:rPr>
        <w:t xml:space="preserve"> </w:t>
      </w:r>
      <w:proofErr w:type="spellStart"/>
      <w:r w:rsidRPr="004272AF">
        <w:rPr>
          <w:rFonts w:ascii="Times New Roman" w:hAnsi="Times New Roman" w:cs="Times New Roman"/>
          <w:b/>
          <w:bCs/>
          <w:i/>
          <w:iCs/>
          <w:color w:val="0070C0"/>
          <w:sz w:val="28"/>
          <w:szCs w:val="28"/>
          <w:u w:val="single"/>
        </w:rPr>
        <w:t>Snake</w:t>
      </w:r>
      <w:proofErr w:type="spellEnd"/>
      <w:r w:rsidRPr="004272AF">
        <w:rPr>
          <w:rFonts w:ascii="Times New Roman" w:hAnsi="Times New Roman" w:cs="Times New Roman"/>
          <w:b/>
          <w:bCs/>
          <w:i/>
          <w:iCs/>
          <w:color w:val="0070C0"/>
          <w:sz w:val="28"/>
          <w:szCs w:val="28"/>
          <w:u w:val="single"/>
        </w:rPr>
        <w:t xml:space="preserve"> </w:t>
      </w:r>
      <w:proofErr w:type="spellStart"/>
      <w:r w:rsidRPr="004272AF">
        <w:rPr>
          <w:rFonts w:ascii="Times New Roman" w:hAnsi="Times New Roman" w:cs="Times New Roman"/>
          <w:b/>
          <w:bCs/>
          <w:i/>
          <w:iCs/>
          <w:color w:val="0070C0"/>
          <w:sz w:val="28"/>
          <w:szCs w:val="28"/>
          <w:u w:val="single"/>
        </w:rPr>
        <w:t>Arrangement</w:t>
      </w:r>
      <w:proofErr w:type="spellEnd"/>
      <w:r w:rsidRPr="004272AF">
        <w:rPr>
          <w:rFonts w:ascii="Times New Roman" w:hAnsi="Times New Roman" w:cs="Times New Roman"/>
          <w:b/>
          <w:bCs/>
          <w:i/>
          <w:iCs/>
          <w:color w:val="0070C0"/>
          <w:sz w:val="28"/>
          <w:szCs w:val="28"/>
          <w:u w:val="single"/>
        </w:rPr>
        <w:t xml:space="preserve"> – a sikertelen valutakígyó kísérlet</w:t>
      </w:r>
      <w:bookmarkEnd w:id="4"/>
      <w:bookmarkEnd w:id="5"/>
    </w:p>
    <w:p w14:paraId="4A9E534A" w14:textId="77777777" w:rsidR="004272AF" w:rsidRDefault="00495E6A" w:rsidP="004272AF">
      <w:pPr>
        <w:spacing w:before="60" w:after="60"/>
        <w:rPr>
          <w:rFonts w:ascii="Times New Roman" w:hAnsi="Times New Roman" w:cs="Times New Roman"/>
          <w:sz w:val="24"/>
          <w:szCs w:val="24"/>
        </w:rPr>
      </w:pPr>
      <w:r w:rsidRPr="004272AF">
        <w:rPr>
          <w:rFonts w:ascii="Times New Roman" w:hAnsi="Times New Roman" w:cs="Times New Roman"/>
          <w:sz w:val="24"/>
          <w:szCs w:val="24"/>
          <w:highlight w:val="lightGray"/>
        </w:rPr>
        <w:t xml:space="preserve">A </w:t>
      </w:r>
      <w:r w:rsidRPr="004272AF">
        <w:rPr>
          <w:rFonts w:ascii="Times New Roman" w:hAnsi="Times New Roman" w:cs="Times New Roman"/>
          <w:b/>
          <w:bCs/>
          <w:sz w:val="24"/>
          <w:szCs w:val="24"/>
          <w:highlight w:val="lightGray"/>
        </w:rPr>
        <w:t>’70-es évek valutakígyó</w:t>
      </w:r>
      <w:r w:rsidRPr="004272AF">
        <w:rPr>
          <w:rFonts w:ascii="Times New Roman" w:hAnsi="Times New Roman" w:cs="Times New Roman"/>
          <w:sz w:val="24"/>
          <w:szCs w:val="24"/>
          <w:highlight w:val="lightGray"/>
        </w:rPr>
        <w:t xml:space="preserve"> próbálkozása hamar zsákutcába futott. A rendszer a 9 EU-tag valutáit </w:t>
      </w:r>
      <w:r w:rsidRPr="004272AF">
        <w:rPr>
          <w:rFonts w:ascii="Times New Roman" w:hAnsi="Times New Roman" w:cs="Times New Roman"/>
          <w:b/>
          <w:bCs/>
          <w:sz w:val="24"/>
          <w:szCs w:val="24"/>
          <w:highlight w:val="lightGray"/>
        </w:rPr>
        <w:t>páronként egymáshoz rögzítette</w:t>
      </w:r>
      <w:r w:rsidRPr="004272AF">
        <w:rPr>
          <w:rFonts w:ascii="Times New Roman" w:hAnsi="Times New Roman" w:cs="Times New Roman"/>
          <w:sz w:val="24"/>
          <w:szCs w:val="24"/>
          <w:highlight w:val="lightGray"/>
        </w:rPr>
        <w:t xml:space="preserve">, így összesen </w:t>
      </w:r>
      <w:r w:rsidRPr="004272AF">
        <w:rPr>
          <w:rFonts w:ascii="Times New Roman" w:hAnsi="Times New Roman" w:cs="Times New Roman"/>
          <w:b/>
          <w:bCs/>
          <w:sz w:val="24"/>
          <w:szCs w:val="24"/>
          <w:highlight w:val="lightGray"/>
        </w:rPr>
        <w:t>36 rögzített valutapár</w:t>
      </w:r>
      <w:r w:rsidRPr="004272AF">
        <w:rPr>
          <w:rFonts w:ascii="Times New Roman" w:hAnsi="Times New Roman" w:cs="Times New Roman"/>
          <w:sz w:val="24"/>
          <w:szCs w:val="24"/>
          <w:highlight w:val="lightGray"/>
        </w:rPr>
        <w:t xml:space="preserve"> működött, +/- 2,25%-os toleranciasávval.</w:t>
      </w:r>
    </w:p>
    <w:p w14:paraId="76842881" w14:textId="77777777" w:rsidR="004272AF" w:rsidRPr="004272AF" w:rsidRDefault="00495E6A" w:rsidP="004272AF">
      <w:pPr>
        <w:pStyle w:val="Listaszerbekezds"/>
        <w:numPr>
          <w:ilvl w:val="0"/>
          <w:numId w:val="7"/>
        </w:numPr>
        <w:spacing w:line="276" w:lineRule="auto"/>
        <w:rPr>
          <w:rFonts w:ascii="Times New Roman" w:hAnsi="Times New Roman" w:cs="Times New Roman"/>
          <w:sz w:val="24"/>
          <w:szCs w:val="24"/>
        </w:rPr>
      </w:pPr>
      <w:r w:rsidRPr="004272AF">
        <w:rPr>
          <w:rFonts w:ascii="Times New Roman" w:hAnsi="Times New Roman" w:cs="Times New Roman"/>
          <w:sz w:val="24"/>
          <w:szCs w:val="24"/>
        </w:rPr>
        <w:t xml:space="preserve">Azonban a rendszer fenntarthatatlannak bizonyult, hiszen az országok fiskális és monetáris politikájára </w:t>
      </w:r>
      <w:r w:rsidRPr="004272AF">
        <w:rPr>
          <w:rFonts w:ascii="Times New Roman" w:hAnsi="Times New Roman" w:cs="Times New Roman"/>
          <w:b/>
          <w:bCs/>
          <w:sz w:val="24"/>
          <w:szCs w:val="24"/>
        </w:rPr>
        <w:t>nem vonatkoztak közös szabályok</w:t>
      </w:r>
      <w:r w:rsidRPr="004272AF">
        <w:rPr>
          <w:rFonts w:ascii="Times New Roman" w:hAnsi="Times New Roman" w:cs="Times New Roman"/>
          <w:sz w:val="24"/>
          <w:szCs w:val="24"/>
        </w:rPr>
        <w:t xml:space="preserve">, így az </w:t>
      </w:r>
      <w:r w:rsidRPr="004272AF">
        <w:rPr>
          <w:rFonts w:ascii="Times New Roman" w:hAnsi="Times New Roman" w:cs="Times New Roman"/>
          <w:b/>
          <w:bCs/>
          <w:sz w:val="24"/>
          <w:szCs w:val="24"/>
        </w:rPr>
        <w:t>árfolyamparitások</w:t>
      </w:r>
      <w:r w:rsidRPr="004272AF">
        <w:rPr>
          <w:rFonts w:ascii="Times New Roman" w:hAnsi="Times New Roman" w:cs="Times New Roman"/>
          <w:sz w:val="24"/>
          <w:szCs w:val="24"/>
        </w:rPr>
        <w:t xml:space="preserve"> értelemszerűen </w:t>
      </w:r>
      <w:r w:rsidRPr="004272AF">
        <w:rPr>
          <w:rFonts w:ascii="Times New Roman" w:hAnsi="Times New Roman" w:cs="Times New Roman"/>
          <w:b/>
          <w:bCs/>
          <w:sz w:val="24"/>
          <w:szCs w:val="24"/>
        </w:rPr>
        <w:t>nem lehettek állandóak</w:t>
      </w:r>
      <w:r w:rsidRPr="004272AF">
        <w:rPr>
          <w:rFonts w:ascii="Times New Roman" w:hAnsi="Times New Roman" w:cs="Times New Roman"/>
          <w:sz w:val="24"/>
          <w:szCs w:val="24"/>
        </w:rPr>
        <w:t>.</w:t>
      </w:r>
    </w:p>
    <w:p w14:paraId="335645EE" w14:textId="77777777" w:rsidR="004272AF" w:rsidRDefault="00495E6A" w:rsidP="004272AF">
      <w:pPr>
        <w:pStyle w:val="Listaszerbekezds"/>
        <w:numPr>
          <w:ilvl w:val="0"/>
          <w:numId w:val="7"/>
        </w:numPr>
        <w:spacing w:before="60" w:after="60" w:line="276" w:lineRule="auto"/>
        <w:rPr>
          <w:rFonts w:ascii="Times New Roman" w:hAnsi="Times New Roman" w:cs="Times New Roman"/>
          <w:sz w:val="24"/>
          <w:szCs w:val="24"/>
        </w:rPr>
      </w:pPr>
      <w:r w:rsidRPr="004272AF">
        <w:rPr>
          <w:rFonts w:ascii="Times New Roman" w:hAnsi="Times New Roman" w:cs="Times New Roman"/>
          <w:sz w:val="24"/>
          <w:szCs w:val="24"/>
        </w:rPr>
        <w:t xml:space="preserve">Emellett a </w:t>
      </w:r>
      <w:r w:rsidRPr="004272AF">
        <w:rPr>
          <w:rFonts w:ascii="Times New Roman" w:hAnsi="Times New Roman" w:cs="Times New Roman"/>
          <w:b/>
          <w:bCs/>
          <w:sz w:val="24"/>
          <w:szCs w:val="24"/>
        </w:rPr>
        <w:t>német márka folyamatos leértékelése</w:t>
      </w:r>
      <w:r w:rsidRPr="004272AF">
        <w:rPr>
          <w:rFonts w:ascii="Times New Roman" w:hAnsi="Times New Roman" w:cs="Times New Roman"/>
          <w:sz w:val="24"/>
          <w:szCs w:val="24"/>
        </w:rPr>
        <w:t xml:space="preserve"> folyamatos alkalmazkodásra kényszerítette a többi ország döntéshozóit, így 1977-re már csak nyugat-németek, a belgák, Luxemburg, Hollandia és Dánia maradt a rendszerben.</w:t>
      </w:r>
    </w:p>
    <w:p w14:paraId="741F6D40" w14:textId="0D7F6366" w:rsidR="00495E6A" w:rsidRPr="004272AF" w:rsidRDefault="004272AF" w:rsidP="004272AF">
      <w:pPr>
        <w:spacing w:before="60" w:after="60" w:line="276" w:lineRule="auto"/>
        <w:rPr>
          <w:rFonts w:ascii="Times New Roman" w:hAnsi="Times New Roman" w:cs="Times New Roman"/>
          <w:sz w:val="24"/>
          <w:szCs w:val="24"/>
        </w:rPr>
      </w:pPr>
      <w:r>
        <w:rPr>
          <w:rFonts w:ascii="Times New Roman" w:hAnsi="Times New Roman" w:cs="Times New Roman"/>
          <w:sz w:val="24"/>
          <w:szCs w:val="24"/>
        </w:rPr>
        <w:t>V</w:t>
      </w:r>
      <w:r w:rsidR="00495E6A" w:rsidRPr="004272AF">
        <w:rPr>
          <w:rFonts w:ascii="Times New Roman" w:hAnsi="Times New Roman" w:cs="Times New Roman"/>
          <w:sz w:val="24"/>
          <w:szCs w:val="24"/>
        </w:rPr>
        <w:t xml:space="preserve">égül </w:t>
      </w:r>
      <w:r w:rsidR="00495E6A" w:rsidRPr="004272AF">
        <w:rPr>
          <w:rFonts w:ascii="Times New Roman" w:hAnsi="Times New Roman" w:cs="Times New Roman"/>
          <w:b/>
          <w:bCs/>
          <w:sz w:val="24"/>
          <w:szCs w:val="24"/>
        </w:rPr>
        <w:t>1979</w:t>
      </w:r>
      <w:r w:rsidR="00495E6A" w:rsidRPr="004272AF">
        <w:rPr>
          <w:rFonts w:ascii="Times New Roman" w:hAnsi="Times New Roman" w:cs="Times New Roman"/>
          <w:sz w:val="24"/>
          <w:szCs w:val="24"/>
        </w:rPr>
        <w:t>-ig működött, a fentebb vázolt ellentmondások a rendszer megszüntetéséhez vezet</w:t>
      </w:r>
      <w:r>
        <w:rPr>
          <w:rFonts w:ascii="Times New Roman" w:hAnsi="Times New Roman" w:cs="Times New Roman"/>
          <w:sz w:val="24"/>
          <w:szCs w:val="24"/>
        </w:rPr>
        <w:t>tek</w:t>
      </w:r>
      <w:r w:rsidR="00495E6A" w:rsidRPr="004272AF">
        <w:rPr>
          <w:rFonts w:ascii="Times New Roman" w:hAnsi="Times New Roman" w:cs="Times New Roman"/>
          <w:sz w:val="24"/>
          <w:szCs w:val="24"/>
        </w:rPr>
        <w:t>.</w:t>
      </w:r>
    </w:p>
    <w:p w14:paraId="74AF1C38" w14:textId="77777777" w:rsidR="00495E6A" w:rsidRPr="004272AF" w:rsidRDefault="00495E6A" w:rsidP="00495E6A">
      <w:pPr>
        <w:spacing w:before="120" w:after="120"/>
        <w:rPr>
          <w:rFonts w:ascii="Times New Roman" w:hAnsi="Times New Roman" w:cs="Times New Roman"/>
          <w:b/>
          <w:bCs/>
          <w:i/>
          <w:iCs/>
          <w:color w:val="0070C0"/>
          <w:sz w:val="28"/>
          <w:szCs w:val="28"/>
          <w:u w:val="single"/>
        </w:rPr>
      </w:pPr>
      <w:bookmarkStart w:id="6" w:name="_Toc34935739"/>
      <w:r w:rsidRPr="004272AF">
        <w:rPr>
          <w:rFonts w:ascii="Times New Roman" w:hAnsi="Times New Roman" w:cs="Times New Roman"/>
          <w:b/>
          <w:bCs/>
          <w:i/>
          <w:iCs/>
          <w:color w:val="0070C0"/>
          <w:sz w:val="28"/>
          <w:szCs w:val="28"/>
          <w:u w:val="single"/>
        </w:rPr>
        <w:t xml:space="preserve">European </w:t>
      </w:r>
      <w:proofErr w:type="spellStart"/>
      <w:r w:rsidRPr="004272AF">
        <w:rPr>
          <w:rFonts w:ascii="Times New Roman" w:hAnsi="Times New Roman" w:cs="Times New Roman"/>
          <w:b/>
          <w:bCs/>
          <w:i/>
          <w:iCs/>
          <w:color w:val="0070C0"/>
          <w:sz w:val="28"/>
          <w:szCs w:val="28"/>
          <w:u w:val="single"/>
        </w:rPr>
        <w:t>Monetary</w:t>
      </w:r>
      <w:proofErr w:type="spellEnd"/>
      <w:r w:rsidRPr="004272AF">
        <w:rPr>
          <w:rFonts w:ascii="Times New Roman" w:hAnsi="Times New Roman" w:cs="Times New Roman"/>
          <w:b/>
          <w:bCs/>
          <w:i/>
          <w:iCs/>
          <w:color w:val="0070C0"/>
          <w:sz w:val="28"/>
          <w:szCs w:val="28"/>
          <w:u w:val="single"/>
        </w:rPr>
        <w:t xml:space="preserve"> System (EMS, 1979-1998/99)</w:t>
      </w:r>
      <w:bookmarkEnd w:id="6"/>
    </w:p>
    <w:p w14:paraId="44D826E4" w14:textId="77777777" w:rsidR="004272AF" w:rsidRDefault="00495E6A" w:rsidP="003502ED">
      <w:pPr>
        <w:rPr>
          <w:rFonts w:ascii="Times New Roman" w:hAnsi="Times New Roman" w:cs="Times New Roman"/>
          <w:sz w:val="24"/>
          <w:szCs w:val="24"/>
        </w:rPr>
      </w:pPr>
      <w:r w:rsidRPr="00495E6A">
        <w:rPr>
          <w:rFonts w:ascii="Times New Roman" w:hAnsi="Times New Roman" w:cs="Times New Roman"/>
          <w:sz w:val="24"/>
          <w:szCs w:val="24"/>
        </w:rPr>
        <w:t xml:space="preserve">A sikertelen valutakígyó után új megoldáshoz nyúltak az EU döntéshozói. Az EMS keretében </w:t>
      </w:r>
      <w:r w:rsidRPr="004272AF">
        <w:rPr>
          <w:rFonts w:ascii="Times New Roman" w:hAnsi="Times New Roman" w:cs="Times New Roman"/>
          <w:sz w:val="24"/>
          <w:szCs w:val="24"/>
          <w:highlight w:val="lightGray"/>
        </w:rPr>
        <w:t xml:space="preserve">az egyes valutákat az ún. </w:t>
      </w:r>
      <w:r w:rsidRPr="004272AF">
        <w:rPr>
          <w:rFonts w:ascii="Times New Roman" w:hAnsi="Times New Roman" w:cs="Times New Roman"/>
          <w:b/>
          <w:bCs/>
          <w:sz w:val="24"/>
          <w:szCs w:val="24"/>
          <w:highlight w:val="lightGray"/>
        </w:rPr>
        <w:t>ECU-</w:t>
      </w:r>
      <w:proofErr w:type="spellStart"/>
      <w:r w:rsidRPr="004272AF">
        <w:rPr>
          <w:rFonts w:ascii="Times New Roman" w:hAnsi="Times New Roman" w:cs="Times New Roman"/>
          <w:b/>
          <w:bCs/>
          <w:sz w:val="24"/>
          <w:szCs w:val="24"/>
          <w:highlight w:val="lightGray"/>
        </w:rPr>
        <w:t>höz</w:t>
      </w:r>
      <w:proofErr w:type="spellEnd"/>
      <w:r w:rsidRPr="004272AF">
        <w:rPr>
          <w:rFonts w:ascii="Times New Roman" w:hAnsi="Times New Roman" w:cs="Times New Roman"/>
          <w:b/>
          <w:bCs/>
          <w:sz w:val="24"/>
          <w:szCs w:val="24"/>
          <w:highlight w:val="lightGray"/>
        </w:rPr>
        <w:t xml:space="preserve"> (European </w:t>
      </w:r>
      <w:proofErr w:type="spellStart"/>
      <w:r w:rsidRPr="004272AF">
        <w:rPr>
          <w:rFonts w:ascii="Times New Roman" w:hAnsi="Times New Roman" w:cs="Times New Roman"/>
          <w:b/>
          <w:bCs/>
          <w:sz w:val="24"/>
          <w:szCs w:val="24"/>
          <w:highlight w:val="lightGray"/>
        </w:rPr>
        <w:t>Currency</w:t>
      </w:r>
      <w:proofErr w:type="spellEnd"/>
      <w:r w:rsidRPr="004272AF">
        <w:rPr>
          <w:rFonts w:ascii="Times New Roman" w:hAnsi="Times New Roman" w:cs="Times New Roman"/>
          <w:b/>
          <w:bCs/>
          <w:sz w:val="24"/>
          <w:szCs w:val="24"/>
          <w:highlight w:val="lightGray"/>
        </w:rPr>
        <w:t xml:space="preserve"> Unit)</w:t>
      </w:r>
      <w:r w:rsidRPr="004272AF">
        <w:rPr>
          <w:rFonts w:ascii="Times New Roman" w:hAnsi="Times New Roman" w:cs="Times New Roman"/>
          <w:sz w:val="24"/>
          <w:szCs w:val="24"/>
          <w:highlight w:val="lightGray"/>
        </w:rPr>
        <w:t xml:space="preserve"> kötötték</w:t>
      </w:r>
      <w:r w:rsidRPr="00495E6A">
        <w:rPr>
          <w:rFonts w:ascii="Times New Roman" w:hAnsi="Times New Roman" w:cs="Times New Roman"/>
          <w:sz w:val="24"/>
          <w:szCs w:val="24"/>
        </w:rPr>
        <w:t xml:space="preserve">, mely egy </w:t>
      </w:r>
      <w:r w:rsidRPr="00BD3D13">
        <w:rPr>
          <w:rFonts w:ascii="Times New Roman" w:hAnsi="Times New Roman" w:cs="Times New Roman"/>
          <w:b/>
          <w:bCs/>
          <w:sz w:val="24"/>
          <w:szCs w:val="24"/>
        </w:rPr>
        <w:t>valutakosár</w:t>
      </w:r>
      <w:r w:rsidRPr="00495E6A">
        <w:rPr>
          <w:rFonts w:ascii="Times New Roman" w:hAnsi="Times New Roman" w:cs="Times New Roman"/>
          <w:sz w:val="24"/>
          <w:szCs w:val="24"/>
        </w:rPr>
        <w:t xml:space="preserve"> volt.</w:t>
      </w:r>
    </w:p>
    <w:p w14:paraId="1304E621" w14:textId="77777777" w:rsidR="004272AF" w:rsidRPr="004272AF" w:rsidRDefault="00495E6A" w:rsidP="003502ED">
      <w:pPr>
        <w:pStyle w:val="Listaszerbekezds"/>
        <w:numPr>
          <w:ilvl w:val="0"/>
          <w:numId w:val="8"/>
        </w:numPr>
        <w:rPr>
          <w:rFonts w:ascii="Times New Roman" w:hAnsi="Times New Roman" w:cs="Times New Roman"/>
          <w:sz w:val="24"/>
          <w:szCs w:val="24"/>
        </w:rPr>
      </w:pPr>
      <w:r w:rsidRPr="004272AF">
        <w:rPr>
          <w:rFonts w:ascii="Times New Roman" w:hAnsi="Times New Roman" w:cs="Times New Roman"/>
          <w:sz w:val="24"/>
          <w:szCs w:val="24"/>
        </w:rPr>
        <w:t>Az egyes valuták az adott ország európai kereskedelemben</w:t>
      </w:r>
      <w:r w:rsidR="00BD3D13" w:rsidRPr="004272AF">
        <w:rPr>
          <w:rFonts w:ascii="Times New Roman" w:hAnsi="Times New Roman" w:cs="Times New Roman"/>
          <w:sz w:val="24"/>
          <w:szCs w:val="24"/>
        </w:rPr>
        <w:t xml:space="preserve"> betöltött</w:t>
      </w:r>
      <w:r w:rsidRPr="004272AF">
        <w:rPr>
          <w:rFonts w:ascii="Times New Roman" w:hAnsi="Times New Roman" w:cs="Times New Roman"/>
          <w:sz w:val="24"/>
          <w:szCs w:val="24"/>
        </w:rPr>
        <w:t xml:space="preserve"> részesedésük alapján kerültek súlyozásra benne.</w:t>
      </w:r>
    </w:p>
    <w:p w14:paraId="7DA06530" w14:textId="77777777" w:rsidR="004272AF" w:rsidRPr="004272AF" w:rsidRDefault="00495E6A" w:rsidP="003502ED">
      <w:pPr>
        <w:pStyle w:val="Listaszerbekezds"/>
        <w:numPr>
          <w:ilvl w:val="0"/>
          <w:numId w:val="8"/>
        </w:numPr>
        <w:rPr>
          <w:rFonts w:ascii="Times New Roman" w:hAnsi="Times New Roman" w:cs="Times New Roman"/>
          <w:sz w:val="24"/>
          <w:szCs w:val="24"/>
        </w:rPr>
      </w:pPr>
      <w:r w:rsidRPr="004272AF">
        <w:rPr>
          <w:rFonts w:ascii="Times New Roman" w:hAnsi="Times New Roman" w:cs="Times New Roman"/>
          <w:sz w:val="24"/>
          <w:szCs w:val="24"/>
        </w:rPr>
        <w:t>A rögzítés egy +/- 2,25%-os toleranciasáv mellett történt.</w:t>
      </w:r>
    </w:p>
    <w:p w14:paraId="4D04F918" w14:textId="52D4DA85" w:rsidR="004272AF" w:rsidRPr="004272AF" w:rsidRDefault="00495E6A" w:rsidP="004272AF">
      <w:pPr>
        <w:spacing w:before="60" w:after="60" w:line="276" w:lineRule="auto"/>
        <w:rPr>
          <w:rFonts w:ascii="Times New Roman" w:hAnsi="Times New Roman" w:cs="Times New Roman"/>
          <w:color w:val="0070C0"/>
          <w:sz w:val="24"/>
          <w:szCs w:val="24"/>
          <w:u w:val="single"/>
        </w:rPr>
      </w:pPr>
      <w:r w:rsidRPr="004272AF">
        <w:rPr>
          <w:rFonts w:ascii="Times New Roman" w:hAnsi="Times New Roman" w:cs="Times New Roman"/>
          <w:b/>
          <w:bCs/>
          <w:color w:val="0070C0"/>
          <w:sz w:val="24"/>
          <w:szCs w:val="24"/>
          <w:highlight w:val="lightGray"/>
          <w:u w:val="single"/>
        </w:rPr>
        <w:t xml:space="preserve">ERM – Exchange </w:t>
      </w:r>
      <w:proofErr w:type="spellStart"/>
      <w:r w:rsidRPr="004272AF">
        <w:rPr>
          <w:rFonts w:ascii="Times New Roman" w:hAnsi="Times New Roman" w:cs="Times New Roman"/>
          <w:b/>
          <w:bCs/>
          <w:color w:val="0070C0"/>
          <w:sz w:val="24"/>
          <w:szCs w:val="24"/>
          <w:highlight w:val="lightGray"/>
          <w:u w:val="single"/>
        </w:rPr>
        <w:t>Rate</w:t>
      </w:r>
      <w:proofErr w:type="spellEnd"/>
      <w:r w:rsidRPr="004272AF">
        <w:rPr>
          <w:rFonts w:ascii="Times New Roman" w:hAnsi="Times New Roman" w:cs="Times New Roman"/>
          <w:b/>
          <w:bCs/>
          <w:color w:val="0070C0"/>
          <w:sz w:val="24"/>
          <w:szCs w:val="24"/>
          <w:highlight w:val="lightGray"/>
          <w:u w:val="single"/>
        </w:rPr>
        <w:t xml:space="preserve"> </w:t>
      </w:r>
      <w:proofErr w:type="spellStart"/>
      <w:r w:rsidRPr="004272AF">
        <w:rPr>
          <w:rFonts w:ascii="Times New Roman" w:hAnsi="Times New Roman" w:cs="Times New Roman"/>
          <w:b/>
          <w:bCs/>
          <w:color w:val="0070C0"/>
          <w:sz w:val="24"/>
          <w:szCs w:val="24"/>
          <w:highlight w:val="lightGray"/>
          <w:u w:val="single"/>
        </w:rPr>
        <w:t>Mechanism</w:t>
      </w:r>
      <w:proofErr w:type="spellEnd"/>
    </w:p>
    <w:p w14:paraId="1A3BF61D" w14:textId="77777777" w:rsidR="004272AF" w:rsidRDefault="00495E6A" w:rsidP="003502ED">
      <w:pPr>
        <w:spacing w:before="60" w:after="60"/>
        <w:rPr>
          <w:rFonts w:ascii="Times New Roman" w:hAnsi="Times New Roman" w:cs="Times New Roman"/>
          <w:sz w:val="24"/>
          <w:szCs w:val="24"/>
        </w:rPr>
      </w:pPr>
      <w:r w:rsidRPr="00495E6A">
        <w:rPr>
          <w:rFonts w:ascii="Times New Roman" w:hAnsi="Times New Roman" w:cs="Times New Roman"/>
          <w:sz w:val="24"/>
          <w:szCs w:val="24"/>
        </w:rPr>
        <w:t>A rögzítés és a német márka leértékelődése itt is folyamatos kiigazításokat tett szükségessé, azonban az árfolyamok volatilitása jelentősen csökkent e rendszerben. Az ECU emel</w:t>
      </w:r>
      <w:r w:rsidR="00BD3D13">
        <w:rPr>
          <w:rFonts w:ascii="Times New Roman" w:hAnsi="Times New Roman" w:cs="Times New Roman"/>
          <w:sz w:val="24"/>
          <w:szCs w:val="24"/>
        </w:rPr>
        <w:t>l</w:t>
      </w:r>
      <w:r w:rsidRPr="00495E6A">
        <w:rPr>
          <w:rFonts w:ascii="Times New Roman" w:hAnsi="Times New Roman" w:cs="Times New Roman"/>
          <w:sz w:val="24"/>
          <w:szCs w:val="24"/>
        </w:rPr>
        <w:t xml:space="preserve">ett még </w:t>
      </w:r>
      <w:r w:rsidRPr="00BD3D13">
        <w:rPr>
          <w:rFonts w:ascii="Times New Roman" w:hAnsi="Times New Roman" w:cs="Times New Roman"/>
          <w:b/>
          <w:bCs/>
          <w:sz w:val="24"/>
          <w:szCs w:val="24"/>
        </w:rPr>
        <w:t>számlapénzként, elszámolási egységként</w:t>
      </w:r>
      <w:r w:rsidRPr="00495E6A">
        <w:rPr>
          <w:rFonts w:ascii="Times New Roman" w:hAnsi="Times New Roman" w:cs="Times New Roman"/>
          <w:sz w:val="24"/>
          <w:szCs w:val="24"/>
        </w:rPr>
        <w:t xml:space="preserve"> is funkcionált, az EU-s költségvetés, t</w:t>
      </w:r>
      <w:r w:rsidR="00BD3D13">
        <w:rPr>
          <w:rFonts w:ascii="Times New Roman" w:hAnsi="Times New Roman" w:cs="Times New Roman"/>
          <w:sz w:val="24"/>
          <w:szCs w:val="24"/>
        </w:rPr>
        <w:t>á</w:t>
      </w:r>
      <w:r w:rsidRPr="00495E6A">
        <w:rPr>
          <w:rFonts w:ascii="Times New Roman" w:hAnsi="Times New Roman" w:cs="Times New Roman"/>
          <w:sz w:val="24"/>
          <w:szCs w:val="24"/>
        </w:rPr>
        <w:t>mogatások, befizetések nyilvántartása is ebben történt.</w:t>
      </w:r>
    </w:p>
    <w:p w14:paraId="55C58A34" w14:textId="77777777" w:rsidR="004272AF" w:rsidRDefault="00495E6A" w:rsidP="003502ED">
      <w:pPr>
        <w:pStyle w:val="Listaszerbekezds"/>
        <w:numPr>
          <w:ilvl w:val="0"/>
          <w:numId w:val="9"/>
        </w:numPr>
        <w:spacing w:after="60"/>
        <w:rPr>
          <w:rFonts w:ascii="Times New Roman" w:hAnsi="Times New Roman" w:cs="Times New Roman"/>
          <w:sz w:val="24"/>
          <w:szCs w:val="24"/>
        </w:rPr>
      </w:pPr>
      <w:r w:rsidRPr="004272AF">
        <w:rPr>
          <w:rFonts w:ascii="Times New Roman" w:hAnsi="Times New Roman" w:cs="Times New Roman"/>
          <w:sz w:val="24"/>
          <w:szCs w:val="24"/>
        </w:rPr>
        <w:t xml:space="preserve">A rendszer legsúlyosabb krízisét a 1992-es ERM-válság jelentette, amikor is az </w:t>
      </w:r>
      <w:r w:rsidRPr="004272AF">
        <w:rPr>
          <w:rFonts w:ascii="Times New Roman" w:hAnsi="Times New Roman" w:cs="Times New Roman"/>
          <w:b/>
          <w:bCs/>
          <w:sz w:val="24"/>
          <w:szCs w:val="24"/>
          <w:highlight w:val="lightGray"/>
        </w:rPr>
        <w:t>angol font és az olasz líra „kiesett” a rendszerből</w:t>
      </w:r>
      <w:r w:rsidRPr="004272AF">
        <w:rPr>
          <w:rFonts w:ascii="Times New Roman" w:hAnsi="Times New Roman" w:cs="Times New Roman"/>
          <w:sz w:val="24"/>
          <w:szCs w:val="24"/>
        </w:rPr>
        <w:t xml:space="preserve">, a fiskális politikájuknak – és a folyamatra ráerősítő piaci folyamatoknak – köszönhetően egy </w:t>
      </w:r>
      <w:r w:rsidRPr="004272AF">
        <w:rPr>
          <w:rFonts w:ascii="Times New Roman" w:hAnsi="Times New Roman" w:cs="Times New Roman"/>
          <w:b/>
          <w:bCs/>
          <w:sz w:val="24"/>
          <w:szCs w:val="24"/>
          <w:highlight w:val="lightGray"/>
        </w:rPr>
        <w:t>nagy leértékelődés következett</w:t>
      </w:r>
      <w:r w:rsidRPr="004272AF">
        <w:rPr>
          <w:rFonts w:ascii="Times New Roman" w:hAnsi="Times New Roman" w:cs="Times New Roman"/>
          <w:sz w:val="24"/>
          <w:szCs w:val="24"/>
        </w:rPr>
        <w:t xml:space="preserve"> be e valuták esetén.</w:t>
      </w:r>
    </w:p>
    <w:p w14:paraId="7CDA86CD" w14:textId="443C3B8E" w:rsidR="00495E6A" w:rsidRPr="004272AF" w:rsidRDefault="00495E6A" w:rsidP="003502ED">
      <w:pPr>
        <w:pStyle w:val="Listaszerbekezds"/>
        <w:numPr>
          <w:ilvl w:val="1"/>
          <w:numId w:val="9"/>
        </w:numPr>
        <w:spacing w:after="60"/>
        <w:rPr>
          <w:rFonts w:ascii="Times New Roman" w:hAnsi="Times New Roman" w:cs="Times New Roman"/>
          <w:sz w:val="24"/>
          <w:szCs w:val="24"/>
        </w:rPr>
      </w:pPr>
      <w:r w:rsidRPr="004272AF">
        <w:rPr>
          <w:rFonts w:ascii="Times New Roman" w:hAnsi="Times New Roman" w:cs="Times New Roman"/>
          <w:sz w:val="24"/>
          <w:szCs w:val="24"/>
        </w:rPr>
        <w:t>Ezt követően még inkább előtérbe került a közös monetáris politika fontossága, és a közös fizetőeszköz bevezetése.</w:t>
      </w:r>
    </w:p>
    <w:p w14:paraId="1334EC9E" w14:textId="77777777" w:rsidR="00752349" w:rsidRDefault="00495E6A" w:rsidP="003502ED">
      <w:pPr>
        <w:spacing w:before="60" w:after="60"/>
        <w:rPr>
          <w:rFonts w:ascii="Times New Roman" w:hAnsi="Times New Roman" w:cs="Times New Roman"/>
          <w:sz w:val="24"/>
          <w:szCs w:val="24"/>
        </w:rPr>
      </w:pPr>
      <w:r w:rsidRPr="004272AF">
        <w:rPr>
          <w:rFonts w:ascii="Times New Roman" w:hAnsi="Times New Roman" w:cs="Times New Roman"/>
          <w:sz w:val="24"/>
          <w:szCs w:val="24"/>
          <w:highlight w:val="lightGray"/>
        </w:rPr>
        <w:t xml:space="preserve">Az </w:t>
      </w:r>
      <w:r w:rsidRPr="004272AF">
        <w:rPr>
          <w:rFonts w:ascii="Times New Roman" w:hAnsi="Times New Roman" w:cs="Times New Roman"/>
          <w:b/>
          <w:bCs/>
          <w:sz w:val="24"/>
          <w:szCs w:val="24"/>
          <w:highlight w:val="lightGray"/>
        </w:rPr>
        <w:t>ECU-t 1999-ben felváltotta az euró</w:t>
      </w:r>
      <w:r w:rsidRPr="00495E6A">
        <w:rPr>
          <w:rFonts w:ascii="Times New Roman" w:hAnsi="Times New Roman" w:cs="Times New Roman"/>
          <w:sz w:val="24"/>
          <w:szCs w:val="24"/>
        </w:rPr>
        <w:t xml:space="preserve">, meghatározták az egyes devizák euróval szembeni átváltási árfolyamát, és létrehozták az </w:t>
      </w:r>
      <w:r w:rsidRPr="007A2CB3">
        <w:rPr>
          <w:rFonts w:ascii="Times New Roman" w:hAnsi="Times New Roman" w:cs="Times New Roman"/>
          <w:b/>
          <w:bCs/>
          <w:sz w:val="24"/>
          <w:szCs w:val="24"/>
          <w:highlight w:val="lightGray"/>
        </w:rPr>
        <w:t>ERM-</w:t>
      </w:r>
      <w:r w:rsidRPr="00752349">
        <w:rPr>
          <w:rFonts w:ascii="Times New Roman" w:hAnsi="Times New Roman" w:cs="Times New Roman"/>
          <w:b/>
          <w:bCs/>
          <w:sz w:val="24"/>
          <w:szCs w:val="24"/>
          <w:highlight w:val="lightGray"/>
        </w:rPr>
        <w:t>II mechanizmust</w:t>
      </w:r>
      <w:r w:rsidRPr="00495E6A">
        <w:rPr>
          <w:rFonts w:ascii="Times New Roman" w:hAnsi="Times New Roman" w:cs="Times New Roman"/>
          <w:sz w:val="24"/>
          <w:szCs w:val="24"/>
        </w:rPr>
        <w:t>,</w:t>
      </w:r>
    </w:p>
    <w:p w14:paraId="49E0C7D9" w14:textId="77777777" w:rsidR="00752349" w:rsidRDefault="00495E6A" w:rsidP="003502ED">
      <w:pPr>
        <w:pStyle w:val="Listaszerbekezds"/>
        <w:numPr>
          <w:ilvl w:val="0"/>
          <w:numId w:val="9"/>
        </w:numPr>
        <w:spacing w:before="60" w:after="60"/>
        <w:rPr>
          <w:rFonts w:ascii="Times New Roman" w:hAnsi="Times New Roman" w:cs="Times New Roman"/>
          <w:sz w:val="24"/>
          <w:szCs w:val="24"/>
        </w:rPr>
      </w:pPr>
      <w:r w:rsidRPr="00752349">
        <w:rPr>
          <w:rFonts w:ascii="Times New Roman" w:hAnsi="Times New Roman" w:cs="Times New Roman"/>
          <w:sz w:val="24"/>
          <w:szCs w:val="24"/>
        </w:rPr>
        <w:t>mely értelmében az egyes pénznemek árfolyama az euróhoz került rögzítésre, egy 15%-os toleranciasáv mellett.</w:t>
      </w:r>
    </w:p>
    <w:p w14:paraId="4EDC80F4" w14:textId="2ED8AFE6" w:rsidR="00BD3D13" w:rsidRPr="00752349" w:rsidRDefault="00495E6A" w:rsidP="003502ED">
      <w:pPr>
        <w:pStyle w:val="Listaszerbekezds"/>
        <w:numPr>
          <w:ilvl w:val="0"/>
          <w:numId w:val="9"/>
        </w:numPr>
        <w:spacing w:before="60" w:after="60"/>
        <w:rPr>
          <w:rFonts w:ascii="Times New Roman" w:hAnsi="Times New Roman" w:cs="Times New Roman"/>
          <w:sz w:val="24"/>
          <w:szCs w:val="24"/>
        </w:rPr>
      </w:pPr>
      <w:r w:rsidRPr="00752349">
        <w:rPr>
          <w:rFonts w:ascii="Times New Roman" w:hAnsi="Times New Roman" w:cs="Times New Roman"/>
          <w:sz w:val="24"/>
          <w:szCs w:val="24"/>
        </w:rPr>
        <w:lastRenderedPageBreak/>
        <w:t xml:space="preserve">Az </w:t>
      </w:r>
      <w:proofErr w:type="gramStart"/>
      <w:r w:rsidRPr="00752349">
        <w:rPr>
          <w:rFonts w:ascii="Times New Roman" w:hAnsi="Times New Roman" w:cs="Times New Roman"/>
          <w:b/>
          <w:bCs/>
          <w:sz w:val="24"/>
          <w:szCs w:val="24"/>
          <w:highlight w:val="lightGray"/>
        </w:rPr>
        <w:t>euró</w:t>
      </w:r>
      <w:proofErr w:type="gramEnd"/>
      <w:r w:rsidRPr="00752349">
        <w:rPr>
          <w:rFonts w:ascii="Times New Roman" w:hAnsi="Times New Roman" w:cs="Times New Roman"/>
          <w:b/>
          <w:bCs/>
          <w:sz w:val="24"/>
          <w:szCs w:val="24"/>
          <w:highlight w:val="lightGray"/>
        </w:rPr>
        <w:t xml:space="preserve"> mint közös fizikai fizetőeszköz 2002</w:t>
      </w:r>
      <w:r w:rsidRPr="00752349">
        <w:rPr>
          <w:rFonts w:ascii="Times New Roman" w:hAnsi="Times New Roman" w:cs="Times New Roman"/>
          <w:b/>
          <w:bCs/>
          <w:sz w:val="24"/>
          <w:szCs w:val="24"/>
        </w:rPr>
        <w:t>-től</w:t>
      </w:r>
      <w:r w:rsidRPr="00752349">
        <w:rPr>
          <w:rFonts w:ascii="Times New Roman" w:hAnsi="Times New Roman" w:cs="Times New Roman"/>
          <w:sz w:val="24"/>
          <w:szCs w:val="24"/>
        </w:rPr>
        <w:t xml:space="preserve"> létezik, </w:t>
      </w:r>
      <w:r w:rsidR="00BD3D13" w:rsidRPr="00752349">
        <w:rPr>
          <w:rFonts w:ascii="Times New Roman" w:hAnsi="Times New Roman" w:cs="Times New Roman"/>
          <w:sz w:val="24"/>
          <w:szCs w:val="24"/>
        </w:rPr>
        <w:t>’</w:t>
      </w:r>
      <w:r w:rsidRPr="00752349">
        <w:rPr>
          <w:rFonts w:ascii="Times New Roman" w:hAnsi="Times New Roman" w:cs="Times New Roman"/>
          <w:sz w:val="24"/>
          <w:szCs w:val="24"/>
        </w:rPr>
        <w:t>99 és 2002 között még csak számlapénzként</w:t>
      </w:r>
      <w:r w:rsidR="00BD3D13" w:rsidRPr="00752349">
        <w:rPr>
          <w:rFonts w:ascii="Times New Roman" w:hAnsi="Times New Roman" w:cs="Times New Roman"/>
          <w:sz w:val="24"/>
          <w:szCs w:val="24"/>
        </w:rPr>
        <w:t xml:space="preserve"> (az ECU mintájára)</w:t>
      </w:r>
      <w:r w:rsidRPr="00752349">
        <w:rPr>
          <w:rFonts w:ascii="Times New Roman" w:hAnsi="Times New Roman" w:cs="Times New Roman"/>
          <w:sz w:val="24"/>
          <w:szCs w:val="24"/>
        </w:rPr>
        <w:t xml:space="preserve"> működött.</w:t>
      </w:r>
      <w:bookmarkStart w:id="7" w:name="_Toc1997834"/>
      <w:bookmarkStart w:id="8" w:name="_Toc34935740"/>
    </w:p>
    <w:p w14:paraId="7C4BFDBC" w14:textId="32F9AB54" w:rsidR="00495E6A" w:rsidRPr="004272AF" w:rsidRDefault="00495E6A" w:rsidP="00752349">
      <w:pPr>
        <w:spacing w:before="120"/>
        <w:rPr>
          <w:rFonts w:ascii="Times New Roman" w:hAnsi="Times New Roman" w:cs="Times New Roman"/>
          <w:b/>
          <w:bCs/>
          <w:i/>
          <w:iCs/>
          <w:color w:val="0070C0"/>
          <w:sz w:val="28"/>
          <w:szCs w:val="28"/>
          <w:u w:val="single"/>
        </w:rPr>
      </w:pPr>
      <w:r w:rsidRPr="004272AF">
        <w:rPr>
          <w:rFonts w:ascii="Times New Roman" w:hAnsi="Times New Roman" w:cs="Times New Roman"/>
          <w:b/>
          <w:bCs/>
          <w:i/>
          <w:iCs/>
          <w:color w:val="0070C0"/>
          <w:sz w:val="28"/>
          <w:szCs w:val="28"/>
          <w:u w:val="single"/>
        </w:rPr>
        <w:t>Eurozóna tagság</w:t>
      </w:r>
      <w:r w:rsidR="004272AF" w:rsidRPr="004272AF">
        <w:rPr>
          <w:rFonts w:ascii="Times New Roman" w:hAnsi="Times New Roman" w:cs="Times New Roman"/>
          <w:b/>
          <w:bCs/>
          <w:i/>
          <w:iCs/>
          <w:color w:val="0070C0"/>
          <w:sz w:val="28"/>
          <w:szCs w:val="28"/>
          <w:u w:val="single"/>
        </w:rPr>
        <w:t>,</w:t>
      </w:r>
      <w:r w:rsidRPr="004272AF">
        <w:rPr>
          <w:rFonts w:ascii="Times New Roman" w:hAnsi="Times New Roman" w:cs="Times New Roman"/>
          <w:b/>
          <w:bCs/>
          <w:i/>
          <w:iCs/>
          <w:color w:val="0070C0"/>
          <w:sz w:val="28"/>
          <w:szCs w:val="28"/>
          <w:u w:val="single"/>
        </w:rPr>
        <w:t xml:space="preserve"> </w:t>
      </w:r>
      <w:bookmarkEnd w:id="7"/>
      <w:r w:rsidRPr="004272AF">
        <w:rPr>
          <w:rFonts w:ascii="Times New Roman" w:hAnsi="Times New Roman" w:cs="Times New Roman"/>
          <w:b/>
          <w:bCs/>
          <w:i/>
          <w:iCs/>
          <w:color w:val="0070C0"/>
          <w:sz w:val="28"/>
          <w:szCs w:val="28"/>
          <w:u w:val="single"/>
        </w:rPr>
        <w:t>mint rögzített árfolyamrendszer?</w:t>
      </w:r>
      <w:bookmarkEnd w:id="8"/>
    </w:p>
    <w:p w14:paraId="0CAC3C52" w14:textId="77777777" w:rsidR="00752349" w:rsidRDefault="00495E6A" w:rsidP="003502ED">
      <w:pPr>
        <w:spacing w:before="60" w:after="60"/>
        <w:rPr>
          <w:rFonts w:ascii="Times New Roman" w:hAnsi="Times New Roman" w:cs="Times New Roman"/>
          <w:sz w:val="24"/>
          <w:szCs w:val="24"/>
        </w:rPr>
      </w:pPr>
      <w:r w:rsidRPr="00495E6A">
        <w:rPr>
          <w:rFonts w:ascii="Times New Roman" w:hAnsi="Times New Roman" w:cs="Times New Roman"/>
          <w:sz w:val="24"/>
          <w:szCs w:val="24"/>
        </w:rPr>
        <w:t xml:space="preserve">Az eurozóna tagjának lenni tulajdonképpen megfelel egy </w:t>
      </w:r>
      <w:r w:rsidRPr="00BD3D13">
        <w:rPr>
          <w:rFonts w:ascii="Times New Roman" w:hAnsi="Times New Roman" w:cs="Times New Roman"/>
          <w:b/>
          <w:bCs/>
          <w:sz w:val="24"/>
          <w:szCs w:val="24"/>
        </w:rPr>
        <w:t>rögzített árfolyamrendszer</w:t>
      </w:r>
      <w:r w:rsidRPr="00495E6A">
        <w:rPr>
          <w:rFonts w:ascii="Times New Roman" w:hAnsi="Times New Roman" w:cs="Times New Roman"/>
          <w:sz w:val="24"/>
          <w:szCs w:val="24"/>
        </w:rPr>
        <w:t xml:space="preserve"> bevezetésével, annak előnyeivel és hátrányaival.</w:t>
      </w:r>
    </w:p>
    <w:p w14:paraId="3F1D3875" w14:textId="77777777" w:rsidR="00752349" w:rsidRDefault="00495E6A" w:rsidP="003502ED">
      <w:pPr>
        <w:pStyle w:val="Listaszerbekezds"/>
        <w:numPr>
          <w:ilvl w:val="0"/>
          <w:numId w:val="10"/>
        </w:numPr>
        <w:spacing w:before="60" w:after="60"/>
        <w:rPr>
          <w:rFonts w:ascii="Times New Roman" w:hAnsi="Times New Roman" w:cs="Times New Roman"/>
          <w:sz w:val="24"/>
          <w:szCs w:val="24"/>
        </w:rPr>
      </w:pPr>
      <w:r w:rsidRPr="00752349">
        <w:rPr>
          <w:rFonts w:ascii="Times New Roman" w:hAnsi="Times New Roman" w:cs="Times New Roman"/>
          <w:sz w:val="24"/>
          <w:szCs w:val="24"/>
        </w:rPr>
        <w:t xml:space="preserve">Így például infláció „importálása” egy jelentős előnye a rendszernek, míg az </w:t>
      </w:r>
      <w:r w:rsidRPr="00752349">
        <w:rPr>
          <w:rFonts w:ascii="Times New Roman" w:hAnsi="Times New Roman" w:cs="Times New Roman"/>
          <w:b/>
          <w:bCs/>
          <w:sz w:val="24"/>
          <w:szCs w:val="24"/>
        </w:rPr>
        <w:t>önálló monetáris politika hiánya</w:t>
      </w:r>
      <w:r w:rsidRPr="00752349">
        <w:rPr>
          <w:rFonts w:ascii="Times New Roman" w:hAnsi="Times New Roman" w:cs="Times New Roman"/>
          <w:sz w:val="24"/>
          <w:szCs w:val="24"/>
        </w:rPr>
        <w:t xml:space="preserve"> – a rögzített árfolyamrendszerhez hasonlóan – hátrányként jelentkezhet.</w:t>
      </w:r>
    </w:p>
    <w:p w14:paraId="0A52011F" w14:textId="70712173" w:rsidR="00495E6A" w:rsidRPr="00752349" w:rsidRDefault="00495E6A" w:rsidP="003502ED">
      <w:pPr>
        <w:pStyle w:val="Listaszerbekezds"/>
        <w:numPr>
          <w:ilvl w:val="0"/>
          <w:numId w:val="10"/>
        </w:numPr>
        <w:spacing w:before="60" w:after="60"/>
        <w:rPr>
          <w:rFonts w:ascii="Times New Roman" w:hAnsi="Times New Roman" w:cs="Times New Roman"/>
          <w:sz w:val="24"/>
          <w:szCs w:val="24"/>
        </w:rPr>
      </w:pPr>
      <w:r w:rsidRPr="00752349">
        <w:rPr>
          <w:rFonts w:ascii="Times New Roman" w:hAnsi="Times New Roman" w:cs="Times New Roman"/>
          <w:sz w:val="24"/>
          <w:szCs w:val="24"/>
        </w:rPr>
        <w:t xml:space="preserve">A rendszer fennmaradásához természetesen elengedhetetlen a </w:t>
      </w:r>
      <w:r w:rsidRPr="00752349">
        <w:rPr>
          <w:rFonts w:ascii="Times New Roman" w:hAnsi="Times New Roman" w:cs="Times New Roman"/>
          <w:b/>
          <w:bCs/>
          <w:sz w:val="24"/>
          <w:szCs w:val="24"/>
        </w:rPr>
        <w:t>fiskális politikák</w:t>
      </w:r>
      <w:r w:rsidRPr="00752349">
        <w:rPr>
          <w:rFonts w:ascii="Times New Roman" w:hAnsi="Times New Roman" w:cs="Times New Roman"/>
          <w:sz w:val="24"/>
          <w:szCs w:val="24"/>
        </w:rPr>
        <w:t xml:space="preserve"> legalább r</w:t>
      </w:r>
      <w:r w:rsidR="00BD3D13" w:rsidRPr="00752349">
        <w:rPr>
          <w:rFonts w:ascii="Times New Roman" w:hAnsi="Times New Roman" w:cs="Times New Roman"/>
          <w:sz w:val="24"/>
          <w:szCs w:val="24"/>
        </w:rPr>
        <w:t>és</w:t>
      </w:r>
      <w:r w:rsidRPr="00752349">
        <w:rPr>
          <w:rFonts w:ascii="Times New Roman" w:hAnsi="Times New Roman" w:cs="Times New Roman"/>
          <w:sz w:val="24"/>
          <w:szCs w:val="24"/>
        </w:rPr>
        <w:t xml:space="preserve">zbeni </w:t>
      </w:r>
      <w:r w:rsidRPr="00752349">
        <w:rPr>
          <w:rFonts w:ascii="Times New Roman" w:hAnsi="Times New Roman" w:cs="Times New Roman"/>
          <w:b/>
          <w:bCs/>
          <w:sz w:val="24"/>
          <w:szCs w:val="24"/>
        </w:rPr>
        <w:t>összehangolása</w:t>
      </w:r>
      <w:r w:rsidRPr="00752349">
        <w:rPr>
          <w:rFonts w:ascii="Times New Roman" w:hAnsi="Times New Roman" w:cs="Times New Roman"/>
          <w:sz w:val="24"/>
          <w:szCs w:val="24"/>
        </w:rPr>
        <w:t xml:space="preserve">, a </w:t>
      </w:r>
      <w:r w:rsidRPr="00752349">
        <w:rPr>
          <w:rFonts w:ascii="Times New Roman" w:hAnsi="Times New Roman" w:cs="Times New Roman"/>
          <w:b/>
          <w:bCs/>
          <w:sz w:val="24"/>
          <w:szCs w:val="24"/>
        </w:rPr>
        <w:t>pénzügyi integráció</w:t>
      </w:r>
      <w:r w:rsidRPr="00752349">
        <w:rPr>
          <w:rFonts w:ascii="Times New Roman" w:hAnsi="Times New Roman" w:cs="Times New Roman"/>
          <w:sz w:val="24"/>
          <w:szCs w:val="24"/>
        </w:rPr>
        <w:t xml:space="preserve"> elmélyülése és egy </w:t>
      </w:r>
      <w:r w:rsidRPr="00752349">
        <w:rPr>
          <w:rFonts w:ascii="Times New Roman" w:hAnsi="Times New Roman" w:cs="Times New Roman"/>
          <w:b/>
          <w:bCs/>
          <w:sz w:val="24"/>
          <w:szCs w:val="24"/>
        </w:rPr>
        <w:t>közös bankfelügyelet.</w:t>
      </w:r>
      <w:r w:rsidRPr="00752349">
        <w:rPr>
          <w:rFonts w:ascii="Times New Roman" w:hAnsi="Times New Roman" w:cs="Times New Roman"/>
          <w:sz w:val="24"/>
          <w:szCs w:val="24"/>
        </w:rPr>
        <w:t xml:space="preserve"> </w:t>
      </w:r>
    </w:p>
    <w:p w14:paraId="0701C46D" w14:textId="77777777" w:rsidR="00495E6A" w:rsidRPr="00752349" w:rsidRDefault="00495E6A" w:rsidP="00752349">
      <w:pPr>
        <w:spacing w:before="120" w:line="276" w:lineRule="auto"/>
        <w:rPr>
          <w:rFonts w:ascii="Times New Roman" w:hAnsi="Times New Roman" w:cs="Times New Roman"/>
          <w:b/>
          <w:bCs/>
          <w:i/>
          <w:iCs/>
          <w:color w:val="0070C0"/>
          <w:sz w:val="28"/>
          <w:szCs w:val="28"/>
          <w:u w:val="single"/>
        </w:rPr>
      </w:pPr>
      <w:bookmarkStart w:id="9" w:name="_Toc1997835"/>
      <w:bookmarkStart w:id="10" w:name="_Toc34935741"/>
      <w:r w:rsidRPr="00752349">
        <w:rPr>
          <w:rFonts w:ascii="Times New Roman" w:hAnsi="Times New Roman" w:cs="Times New Roman"/>
          <w:b/>
          <w:bCs/>
          <w:i/>
          <w:iCs/>
          <w:color w:val="0070C0"/>
          <w:sz w:val="28"/>
          <w:szCs w:val="28"/>
          <w:u w:val="single"/>
        </w:rPr>
        <w:t>Hogyan vezetheti be egy ország az eurót?</w:t>
      </w:r>
      <w:bookmarkEnd w:id="9"/>
      <w:bookmarkEnd w:id="10"/>
    </w:p>
    <w:p w14:paraId="69D94BFB" w14:textId="5F843E2A" w:rsidR="00495E6A" w:rsidRDefault="00495E6A" w:rsidP="004272AF">
      <w:pPr>
        <w:spacing w:before="60" w:after="60" w:line="276" w:lineRule="auto"/>
        <w:rPr>
          <w:rFonts w:ascii="Times New Roman" w:hAnsi="Times New Roman" w:cs="Times New Roman"/>
          <w:sz w:val="24"/>
          <w:szCs w:val="24"/>
        </w:rPr>
      </w:pPr>
      <w:r w:rsidRPr="00495E6A">
        <w:rPr>
          <w:rFonts w:ascii="Times New Roman" w:hAnsi="Times New Roman" w:cs="Times New Roman"/>
          <w:sz w:val="24"/>
          <w:szCs w:val="24"/>
        </w:rPr>
        <w:t xml:space="preserve">Ahogy </w:t>
      </w:r>
      <w:r w:rsidR="00BD3D13" w:rsidRPr="00495E6A">
        <w:rPr>
          <w:rFonts w:ascii="Times New Roman" w:hAnsi="Times New Roman" w:cs="Times New Roman"/>
          <w:sz w:val="24"/>
          <w:szCs w:val="24"/>
        </w:rPr>
        <w:t>Montenegró</w:t>
      </w:r>
      <w:r w:rsidRPr="00495E6A">
        <w:rPr>
          <w:rFonts w:ascii="Times New Roman" w:hAnsi="Times New Roman" w:cs="Times New Roman"/>
          <w:sz w:val="24"/>
          <w:szCs w:val="24"/>
        </w:rPr>
        <w:t xml:space="preserve"> és Koszovó példáján láthatjuk, a bevezetés történhet nem </w:t>
      </w:r>
      <w:r w:rsidR="008F2788">
        <w:rPr>
          <w:rFonts w:ascii="Times New Roman" w:hAnsi="Times New Roman" w:cs="Times New Roman"/>
          <w:sz w:val="24"/>
          <w:szCs w:val="24"/>
        </w:rPr>
        <w:t>hivatalos</w:t>
      </w:r>
      <w:r w:rsidRPr="00495E6A">
        <w:rPr>
          <w:rFonts w:ascii="Times New Roman" w:hAnsi="Times New Roman" w:cs="Times New Roman"/>
          <w:sz w:val="24"/>
          <w:szCs w:val="24"/>
        </w:rPr>
        <w:t xml:space="preserve"> módon (</w:t>
      </w:r>
      <w:proofErr w:type="spellStart"/>
      <w:r w:rsidRPr="00BD3D13">
        <w:rPr>
          <w:rFonts w:ascii="Times New Roman" w:hAnsi="Times New Roman" w:cs="Times New Roman"/>
          <w:b/>
          <w:bCs/>
          <w:sz w:val="24"/>
          <w:szCs w:val="24"/>
        </w:rPr>
        <w:t>eurolizáció</w:t>
      </w:r>
      <w:proofErr w:type="spellEnd"/>
      <w:r w:rsidRPr="00495E6A">
        <w:rPr>
          <w:rFonts w:ascii="Times New Roman" w:hAnsi="Times New Roman" w:cs="Times New Roman"/>
          <w:sz w:val="24"/>
          <w:szCs w:val="24"/>
        </w:rPr>
        <w:t>), hiszen ezen országok nem léptek be az eurozónába, sőt jelenleg még az EU-nak sem tagjai. Azonban ezen országokban mégis az euró a hivatalos fizetőeszköz. A jegybankok ezen országokban először jelentős eurotartalékokat halmoztak fel, majd ezeket ki tudták hitelezni a kereskedelmi bankjaiknak, és így elegendő mennyiségű euro kerül készpénzként a forgalomba. Így ezen országok függetlenedése során tudták az eurót választani fizetőeszközül, saját pénzük nem is volt. Ez utóbbi azonban lehetetlenné teszi az euro hivatalos bevezetését, hiszen ahhoz előbb rendelkezni kell saját valutával.</w:t>
      </w:r>
    </w:p>
    <w:p w14:paraId="6F51C612" w14:textId="41156F0E" w:rsidR="00A64EF8" w:rsidRDefault="00A64EF8" w:rsidP="00A64EF8">
      <w:pPr>
        <w:spacing w:line="360" w:lineRule="auto"/>
        <w:jc w:val="center"/>
        <w:rPr>
          <w:rFonts w:ascii="Times New Roman" w:hAnsi="Times New Roman" w:cs="Times New Roman"/>
          <w:sz w:val="24"/>
          <w:szCs w:val="24"/>
        </w:rPr>
      </w:pPr>
      <w:r w:rsidRPr="008F2788">
        <w:rPr>
          <w:rFonts w:ascii="Times New Roman" w:hAnsi="Times New Roman" w:cs="Times New Roman"/>
          <w:i/>
          <w:iCs/>
          <w:sz w:val="24"/>
          <w:szCs w:val="24"/>
        </w:rPr>
        <w:t xml:space="preserve">A jelenleg eurót használó országok </w:t>
      </w:r>
    </w:p>
    <w:p w14:paraId="5044D9D6" w14:textId="6E5232E4" w:rsidR="008F2788" w:rsidRDefault="008F2788" w:rsidP="00A64EF8">
      <w:pPr>
        <w:spacing w:line="360" w:lineRule="auto"/>
        <w:jc w:val="center"/>
        <w:rPr>
          <w:rFonts w:ascii="Times New Roman" w:hAnsi="Times New Roman" w:cs="Times New Roman"/>
          <w:sz w:val="24"/>
          <w:szCs w:val="24"/>
        </w:rPr>
      </w:pPr>
      <w:r>
        <w:rPr>
          <w:rFonts w:ascii="Arial" w:hAnsi="Arial" w:cs="Arial"/>
          <w:noProof/>
          <w:color w:val="2962FF"/>
          <w:sz w:val="20"/>
          <w:szCs w:val="20"/>
          <w:lang w:eastAsia="hu-HU"/>
        </w:rPr>
        <w:drawing>
          <wp:inline distT="0" distB="0" distL="0" distR="0" wp14:anchorId="1B08EF49" wp14:editId="6C0F84D7">
            <wp:extent cx="3594100" cy="3594100"/>
            <wp:effectExtent l="0" t="0" r="6350" b="6350"/>
            <wp:docPr id="1" name="Kép 1" descr="Eurozone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ép 1" descr="Eurozone - Wikipedi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94115" cy="3594115"/>
                    </a:xfrm>
                    <a:prstGeom prst="rect">
                      <a:avLst/>
                    </a:prstGeom>
                    <a:noFill/>
                    <a:ln>
                      <a:noFill/>
                    </a:ln>
                  </pic:spPr>
                </pic:pic>
              </a:graphicData>
            </a:graphic>
          </wp:inline>
        </w:drawing>
      </w:r>
    </w:p>
    <w:p w14:paraId="6277479E" w14:textId="6AB79963" w:rsidR="00A64EF8" w:rsidRDefault="00A64EF8" w:rsidP="00A64EF8">
      <w:pPr>
        <w:spacing w:line="360" w:lineRule="auto"/>
        <w:jc w:val="center"/>
        <w:rPr>
          <w:rFonts w:ascii="Times New Roman" w:hAnsi="Times New Roman" w:cs="Times New Roman"/>
          <w:sz w:val="24"/>
          <w:szCs w:val="24"/>
        </w:rPr>
      </w:pPr>
      <w:r>
        <w:rPr>
          <w:rFonts w:ascii="Times New Roman" w:hAnsi="Times New Roman" w:cs="Times New Roman"/>
          <w:sz w:val="24"/>
          <w:szCs w:val="24"/>
        </w:rPr>
        <w:t>Forrás:</w:t>
      </w:r>
      <w:r w:rsidRPr="00A64EF8">
        <w:t xml:space="preserve"> </w:t>
      </w:r>
      <w:hyperlink r:id="rId12" w:history="1">
        <w:r w:rsidRPr="00972060">
          <w:rPr>
            <w:rStyle w:val="Hiperhivatkozs"/>
            <w:rFonts w:ascii="Times New Roman" w:hAnsi="Times New Roman" w:cs="Times New Roman"/>
            <w:sz w:val="24"/>
            <w:szCs w:val="24"/>
          </w:rPr>
          <w:t>https://en.wikipedia.org/wiki/File:Eurozone_Internal.svg</w:t>
        </w:r>
      </w:hyperlink>
      <w:r>
        <w:rPr>
          <w:rFonts w:ascii="Times New Roman" w:hAnsi="Times New Roman" w:cs="Times New Roman"/>
          <w:sz w:val="24"/>
          <w:szCs w:val="24"/>
        </w:rPr>
        <w:t xml:space="preserve"> </w:t>
      </w:r>
    </w:p>
    <w:p w14:paraId="6A1D9D52" w14:textId="77777777" w:rsidR="00495E6A" w:rsidRPr="00495E6A" w:rsidRDefault="00495E6A" w:rsidP="004272AF">
      <w:pPr>
        <w:spacing w:before="60" w:after="60" w:line="276" w:lineRule="auto"/>
        <w:rPr>
          <w:rFonts w:ascii="Times New Roman" w:hAnsi="Times New Roman" w:cs="Times New Roman"/>
          <w:sz w:val="24"/>
          <w:szCs w:val="24"/>
        </w:rPr>
      </w:pPr>
      <w:r w:rsidRPr="00495E6A">
        <w:rPr>
          <w:rFonts w:ascii="Times New Roman" w:hAnsi="Times New Roman" w:cs="Times New Roman"/>
          <w:sz w:val="24"/>
          <w:szCs w:val="24"/>
        </w:rPr>
        <w:t xml:space="preserve">A </w:t>
      </w:r>
      <w:r w:rsidRPr="00BD3D13">
        <w:rPr>
          <w:rFonts w:ascii="Times New Roman" w:hAnsi="Times New Roman" w:cs="Times New Roman"/>
          <w:b/>
          <w:bCs/>
          <w:sz w:val="24"/>
          <w:szCs w:val="24"/>
        </w:rPr>
        <w:t>hivatalos bevezetéshez</w:t>
      </w:r>
      <w:r w:rsidRPr="00495E6A">
        <w:rPr>
          <w:rFonts w:ascii="Times New Roman" w:hAnsi="Times New Roman" w:cs="Times New Roman"/>
          <w:sz w:val="24"/>
          <w:szCs w:val="24"/>
        </w:rPr>
        <w:t xml:space="preserve"> először </w:t>
      </w:r>
      <w:r w:rsidRPr="00BD3D13">
        <w:rPr>
          <w:rFonts w:ascii="Times New Roman" w:hAnsi="Times New Roman" w:cs="Times New Roman"/>
          <w:b/>
          <w:bCs/>
          <w:sz w:val="24"/>
          <w:szCs w:val="24"/>
        </w:rPr>
        <w:t>EU-tagnak</w:t>
      </w:r>
      <w:r w:rsidRPr="00495E6A">
        <w:rPr>
          <w:rFonts w:ascii="Times New Roman" w:hAnsi="Times New Roman" w:cs="Times New Roman"/>
          <w:sz w:val="24"/>
          <w:szCs w:val="24"/>
        </w:rPr>
        <w:t xml:space="preserve"> kell lenni, majd pedig az alábbi </w:t>
      </w:r>
      <w:r w:rsidRPr="00BD3D13">
        <w:rPr>
          <w:rFonts w:ascii="Times New Roman" w:hAnsi="Times New Roman" w:cs="Times New Roman"/>
          <w:b/>
          <w:bCs/>
          <w:sz w:val="24"/>
          <w:szCs w:val="24"/>
        </w:rPr>
        <w:t xml:space="preserve">Maastricht-i kritériumoknak </w:t>
      </w:r>
      <w:r w:rsidRPr="00495E6A">
        <w:rPr>
          <w:rFonts w:ascii="Times New Roman" w:hAnsi="Times New Roman" w:cs="Times New Roman"/>
          <w:sz w:val="24"/>
          <w:szCs w:val="24"/>
        </w:rPr>
        <w:t xml:space="preserve">kell megfelelni: </w:t>
      </w:r>
    </w:p>
    <w:p w14:paraId="0D293AB8" w14:textId="77777777" w:rsidR="00495E6A" w:rsidRPr="00BD3D13" w:rsidRDefault="00BD3D13" w:rsidP="004272AF">
      <w:pPr>
        <w:pStyle w:val="Listaszerbekezds"/>
        <w:numPr>
          <w:ilvl w:val="0"/>
          <w:numId w:val="4"/>
        </w:numPr>
        <w:spacing w:before="60" w:after="60" w:line="276" w:lineRule="auto"/>
        <w:rPr>
          <w:rFonts w:ascii="Times New Roman" w:hAnsi="Times New Roman" w:cs="Times New Roman"/>
          <w:sz w:val="24"/>
          <w:szCs w:val="24"/>
        </w:rPr>
      </w:pPr>
      <w:r w:rsidRPr="009746EB">
        <w:rPr>
          <w:rFonts w:ascii="Times New Roman" w:hAnsi="Times New Roman" w:cs="Times New Roman"/>
          <w:b/>
          <w:bCs/>
          <w:sz w:val="24"/>
          <w:szCs w:val="24"/>
          <w:highlight w:val="lightGray"/>
        </w:rPr>
        <w:lastRenderedPageBreak/>
        <w:t>Á</w:t>
      </w:r>
      <w:r w:rsidR="00495E6A" w:rsidRPr="009746EB">
        <w:rPr>
          <w:rFonts w:ascii="Times New Roman" w:hAnsi="Times New Roman" w:cs="Times New Roman"/>
          <w:b/>
          <w:bCs/>
          <w:sz w:val="24"/>
          <w:szCs w:val="24"/>
          <w:highlight w:val="lightGray"/>
        </w:rPr>
        <w:t>rstabilitás,</w:t>
      </w:r>
      <w:r w:rsidR="00495E6A" w:rsidRPr="00BD3D13">
        <w:rPr>
          <w:rFonts w:ascii="Times New Roman" w:hAnsi="Times New Roman" w:cs="Times New Roman"/>
          <w:sz w:val="24"/>
          <w:szCs w:val="24"/>
        </w:rPr>
        <w:t xml:space="preserve"> mely értelmében az inflációs ráta nem haladhatja meg 1,5 százalékpontnál többel a három legkisebb inflációval rendelkező tagország inflációjának átlagát;</w:t>
      </w:r>
    </w:p>
    <w:p w14:paraId="01BE55DA" w14:textId="77777777" w:rsidR="00495E6A" w:rsidRPr="00BD3D13" w:rsidRDefault="00BD3D13" w:rsidP="004272AF">
      <w:pPr>
        <w:pStyle w:val="Listaszerbekezds"/>
        <w:numPr>
          <w:ilvl w:val="0"/>
          <w:numId w:val="4"/>
        </w:numPr>
        <w:spacing w:before="60" w:after="60" w:line="276" w:lineRule="auto"/>
        <w:rPr>
          <w:rFonts w:ascii="Times New Roman" w:hAnsi="Times New Roman" w:cs="Times New Roman"/>
          <w:sz w:val="24"/>
          <w:szCs w:val="24"/>
        </w:rPr>
      </w:pPr>
      <w:r w:rsidRPr="009746EB">
        <w:rPr>
          <w:rFonts w:ascii="Times New Roman" w:hAnsi="Times New Roman" w:cs="Times New Roman"/>
          <w:b/>
          <w:bCs/>
          <w:sz w:val="24"/>
          <w:szCs w:val="24"/>
          <w:highlight w:val="lightGray"/>
        </w:rPr>
        <w:t>F</w:t>
      </w:r>
      <w:r w:rsidR="00495E6A" w:rsidRPr="009746EB">
        <w:rPr>
          <w:rFonts w:ascii="Times New Roman" w:hAnsi="Times New Roman" w:cs="Times New Roman"/>
          <w:b/>
          <w:bCs/>
          <w:sz w:val="24"/>
          <w:szCs w:val="24"/>
          <w:highlight w:val="lightGray"/>
        </w:rPr>
        <w:t>iskális politikai szabályok</w:t>
      </w:r>
      <w:r w:rsidR="00495E6A" w:rsidRPr="009746EB">
        <w:rPr>
          <w:rFonts w:ascii="Times New Roman" w:hAnsi="Times New Roman" w:cs="Times New Roman"/>
          <w:sz w:val="24"/>
          <w:szCs w:val="24"/>
          <w:highlight w:val="lightGray"/>
        </w:rPr>
        <w:t>:</w:t>
      </w:r>
      <w:r w:rsidR="00495E6A" w:rsidRPr="00BD3D13">
        <w:rPr>
          <w:rFonts w:ascii="Times New Roman" w:hAnsi="Times New Roman" w:cs="Times New Roman"/>
          <w:sz w:val="24"/>
          <w:szCs w:val="24"/>
        </w:rPr>
        <w:t xml:space="preserve"> az éves költségvetési hiány nem haladhatja meg a GDP 3%-át és az államadósság GDP-arányos értéke nem haladhatja meg a 60%-ot, ha e felett van, akkor pedig folyamatos, tartósan csökkenő tendenciája legyen;</w:t>
      </w:r>
    </w:p>
    <w:p w14:paraId="7DF037BA" w14:textId="77777777" w:rsidR="00495E6A" w:rsidRPr="00BD3D13" w:rsidRDefault="00495E6A" w:rsidP="004272AF">
      <w:pPr>
        <w:pStyle w:val="Listaszerbekezds"/>
        <w:numPr>
          <w:ilvl w:val="0"/>
          <w:numId w:val="4"/>
        </w:numPr>
        <w:spacing w:before="60" w:after="60" w:line="276" w:lineRule="auto"/>
        <w:rPr>
          <w:rFonts w:ascii="Times New Roman" w:hAnsi="Times New Roman" w:cs="Times New Roman"/>
          <w:sz w:val="24"/>
          <w:szCs w:val="24"/>
        </w:rPr>
      </w:pPr>
      <w:r w:rsidRPr="00BD3D13">
        <w:rPr>
          <w:rFonts w:ascii="Times New Roman" w:hAnsi="Times New Roman" w:cs="Times New Roman"/>
          <w:sz w:val="24"/>
          <w:szCs w:val="24"/>
        </w:rPr>
        <w:t xml:space="preserve">Legalább </w:t>
      </w:r>
      <w:r w:rsidRPr="009746EB">
        <w:rPr>
          <w:rFonts w:ascii="Times New Roman" w:hAnsi="Times New Roman" w:cs="Times New Roman"/>
          <w:b/>
          <w:bCs/>
          <w:sz w:val="24"/>
          <w:szCs w:val="24"/>
          <w:highlight w:val="lightGray"/>
        </w:rPr>
        <w:t xml:space="preserve">két évig az ERM-II (Exchange </w:t>
      </w:r>
      <w:proofErr w:type="spellStart"/>
      <w:r w:rsidRPr="009746EB">
        <w:rPr>
          <w:rFonts w:ascii="Times New Roman" w:hAnsi="Times New Roman" w:cs="Times New Roman"/>
          <w:b/>
          <w:bCs/>
          <w:sz w:val="24"/>
          <w:szCs w:val="24"/>
          <w:highlight w:val="lightGray"/>
        </w:rPr>
        <w:t>Rate</w:t>
      </w:r>
      <w:proofErr w:type="spellEnd"/>
      <w:r w:rsidRPr="009746EB">
        <w:rPr>
          <w:rFonts w:ascii="Times New Roman" w:hAnsi="Times New Roman" w:cs="Times New Roman"/>
          <w:b/>
          <w:bCs/>
          <w:sz w:val="24"/>
          <w:szCs w:val="24"/>
          <w:highlight w:val="lightGray"/>
        </w:rPr>
        <w:t xml:space="preserve"> </w:t>
      </w:r>
      <w:proofErr w:type="spellStart"/>
      <w:r w:rsidRPr="009746EB">
        <w:rPr>
          <w:rFonts w:ascii="Times New Roman" w:hAnsi="Times New Roman" w:cs="Times New Roman"/>
          <w:b/>
          <w:bCs/>
          <w:sz w:val="24"/>
          <w:szCs w:val="24"/>
          <w:highlight w:val="lightGray"/>
        </w:rPr>
        <w:t>Mechanism</w:t>
      </w:r>
      <w:proofErr w:type="spellEnd"/>
      <w:r w:rsidRPr="009746EB">
        <w:rPr>
          <w:rFonts w:ascii="Times New Roman" w:hAnsi="Times New Roman" w:cs="Times New Roman"/>
          <w:b/>
          <w:bCs/>
          <w:sz w:val="24"/>
          <w:szCs w:val="24"/>
          <w:highlight w:val="lightGray"/>
        </w:rPr>
        <w:t xml:space="preserve"> II.) tagjának</w:t>
      </w:r>
      <w:r w:rsidRPr="00BD3D13">
        <w:rPr>
          <w:rFonts w:ascii="Times New Roman" w:hAnsi="Times New Roman" w:cs="Times New Roman"/>
          <w:sz w:val="24"/>
          <w:szCs w:val="24"/>
        </w:rPr>
        <w:t xml:space="preserve"> kell lenni, az ország fizetőeszközét rögzítik az euróhoz egy +/- 15%-os árfolyamsáv kíséretében (a gyakorlatban ez az ing</w:t>
      </w:r>
      <w:r w:rsidR="00BD3D13">
        <w:rPr>
          <w:rFonts w:ascii="Times New Roman" w:hAnsi="Times New Roman" w:cs="Times New Roman"/>
          <w:sz w:val="24"/>
          <w:szCs w:val="24"/>
        </w:rPr>
        <w:t>a</w:t>
      </w:r>
      <w:r w:rsidRPr="00BD3D13">
        <w:rPr>
          <w:rFonts w:ascii="Times New Roman" w:hAnsi="Times New Roman" w:cs="Times New Roman"/>
          <w:sz w:val="24"/>
          <w:szCs w:val="24"/>
        </w:rPr>
        <w:t>dozás jóval kisebb volt, így pl. az észteknél egészen pontosan 0%);</w:t>
      </w:r>
    </w:p>
    <w:p w14:paraId="0396C8DF" w14:textId="77777777" w:rsidR="00495E6A" w:rsidRPr="00BD3D13" w:rsidRDefault="00BD3D13" w:rsidP="004272AF">
      <w:pPr>
        <w:pStyle w:val="Listaszerbekezds"/>
        <w:numPr>
          <w:ilvl w:val="0"/>
          <w:numId w:val="4"/>
        </w:numPr>
        <w:spacing w:before="60" w:after="60" w:line="276" w:lineRule="auto"/>
        <w:rPr>
          <w:rFonts w:ascii="Times New Roman" w:hAnsi="Times New Roman" w:cs="Times New Roman"/>
          <w:sz w:val="24"/>
          <w:szCs w:val="24"/>
        </w:rPr>
      </w:pPr>
      <w:r>
        <w:rPr>
          <w:rFonts w:ascii="Times New Roman" w:hAnsi="Times New Roman" w:cs="Times New Roman"/>
          <w:sz w:val="24"/>
          <w:szCs w:val="24"/>
        </w:rPr>
        <w:t>A</w:t>
      </w:r>
      <w:r w:rsidR="00495E6A" w:rsidRPr="00BD3D13">
        <w:rPr>
          <w:rFonts w:ascii="Times New Roman" w:hAnsi="Times New Roman" w:cs="Times New Roman"/>
          <w:sz w:val="24"/>
          <w:szCs w:val="24"/>
        </w:rPr>
        <w:t xml:space="preserve"> </w:t>
      </w:r>
      <w:r w:rsidR="00495E6A" w:rsidRPr="009746EB">
        <w:rPr>
          <w:rFonts w:ascii="Times New Roman" w:hAnsi="Times New Roman" w:cs="Times New Roman"/>
          <w:b/>
          <w:bCs/>
          <w:sz w:val="24"/>
          <w:szCs w:val="24"/>
          <w:highlight w:val="lightGray"/>
        </w:rPr>
        <w:t>hosszú távú kamatlábak konvergenciája</w:t>
      </w:r>
      <w:r w:rsidR="00495E6A" w:rsidRPr="00BD3D13">
        <w:rPr>
          <w:rFonts w:ascii="Times New Roman" w:hAnsi="Times New Roman" w:cs="Times New Roman"/>
          <w:sz w:val="24"/>
          <w:szCs w:val="24"/>
        </w:rPr>
        <w:t xml:space="preserve">, azaz az egyéves referencia-időszakban legfeljebb 2 százalékponttal lehet magasabb mint a három legalacsonyabb inflációval rendelkező tagállam hosszú távú </w:t>
      </w:r>
      <w:proofErr w:type="spellStart"/>
      <w:r w:rsidR="00495E6A" w:rsidRPr="00BD3D13">
        <w:rPr>
          <w:rFonts w:ascii="Times New Roman" w:hAnsi="Times New Roman" w:cs="Times New Roman"/>
          <w:sz w:val="24"/>
          <w:szCs w:val="24"/>
        </w:rPr>
        <w:t>kamatainak</w:t>
      </w:r>
      <w:proofErr w:type="spellEnd"/>
      <w:r w:rsidR="00495E6A" w:rsidRPr="00BD3D13">
        <w:rPr>
          <w:rFonts w:ascii="Times New Roman" w:hAnsi="Times New Roman" w:cs="Times New Roman"/>
          <w:sz w:val="24"/>
          <w:szCs w:val="24"/>
        </w:rPr>
        <w:t xml:space="preserve"> átlaga.</w:t>
      </w:r>
    </w:p>
    <w:p w14:paraId="4AA4C597" w14:textId="77777777" w:rsidR="00495E6A" w:rsidRPr="008F2788" w:rsidRDefault="00495E6A" w:rsidP="004272AF">
      <w:pPr>
        <w:spacing w:before="120" w:after="120" w:line="276" w:lineRule="auto"/>
        <w:rPr>
          <w:rFonts w:ascii="Times New Roman" w:hAnsi="Times New Roman" w:cs="Times New Roman"/>
          <w:b/>
          <w:bCs/>
          <w:i/>
          <w:iCs/>
          <w:sz w:val="24"/>
          <w:szCs w:val="24"/>
          <w:u w:val="single"/>
        </w:rPr>
      </w:pPr>
      <w:bookmarkStart w:id="11" w:name="_Toc1997836"/>
      <w:bookmarkStart w:id="12" w:name="_Toc34935742"/>
      <w:r w:rsidRPr="008F2788">
        <w:rPr>
          <w:rFonts w:ascii="Times New Roman" w:hAnsi="Times New Roman" w:cs="Times New Roman"/>
          <w:b/>
          <w:bCs/>
          <w:i/>
          <w:iCs/>
          <w:color w:val="0070C0"/>
          <w:sz w:val="24"/>
          <w:szCs w:val="24"/>
          <w:u w:val="single"/>
        </w:rPr>
        <w:t>Milyen következményei vannak az euró bevezetésének?</w:t>
      </w:r>
      <w:bookmarkEnd w:id="11"/>
      <w:bookmarkEnd w:id="12"/>
    </w:p>
    <w:p w14:paraId="2E3CFCA3" w14:textId="77777777" w:rsidR="00495E6A" w:rsidRPr="00495E6A" w:rsidRDefault="00495E6A" w:rsidP="004272AF">
      <w:pPr>
        <w:spacing w:before="60" w:after="60" w:line="276" w:lineRule="auto"/>
        <w:rPr>
          <w:rFonts w:ascii="Times New Roman" w:hAnsi="Times New Roman" w:cs="Times New Roman"/>
          <w:sz w:val="24"/>
          <w:szCs w:val="24"/>
        </w:rPr>
      </w:pPr>
      <w:r w:rsidRPr="00495E6A">
        <w:rPr>
          <w:rFonts w:ascii="Times New Roman" w:hAnsi="Times New Roman" w:cs="Times New Roman"/>
          <w:sz w:val="24"/>
          <w:szCs w:val="24"/>
        </w:rPr>
        <w:t xml:space="preserve">Az euróövezet az </w:t>
      </w:r>
      <w:r w:rsidRPr="00BD3D13">
        <w:rPr>
          <w:rFonts w:ascii="Times New Roman" w:hAnsi="Times New Roman" w:cs="Times New Roman"/>
          <w:b/>
          <w:bCs/>
          <w:sz w:val="24"/>
          <w:szCs w:val="24"/>
        </w:rPr>
        <w:t>európai integráció egy mélyebb szintje</w:t>
      </w:r>
      <w:r w:rsidRPr="00495E6A">
        <w:rPr>
          <w:rFonts w:ascii="Times New Roman" w:hAnsi="Times New Roman" w:cs="Times New Roman"/>
          <w:sz w:val="24"/>
          <w:szCs w:val="24"/>
        </w:rPr>
        <w:t xml:space="preserve">: megszűnik az önálló monetáris politika, azt felváltja a közös, melyért az </w:t>
      </w:r>
      <w:r w:rsidRPr="001D7929">
        <w:rPr>
          <w:rFonts w:ascii="Times New Roman" w:hAnsi="Times New Roman" w:cs="Times New Roman"/>
          <w:b/>
          <w:bCs/>
          <w:sz w:val="24"/>
          <w:szCs w:val="24"/>
        </w:rPr>
        <w:t>Európai Központi Bank</w:t>
      </w:r>
      <w:r w:rsidRPr="00495E6A">
        <w:rPr>
          <w:rFonts w:ascii="Times New Roman" w:hAnsi="Times New Roman" w:cs="Times New Roman"/>
          <w:sz w:val="24"/>
          <w:szCs w:val="24"/>
        </w:rPr>
        <w:t xml:space="preserve"> felel (a tagállamok nemzeti bankjainak elnöke képviselteti magát az ECB Kormányzótanácsban, szavazati joggal rendelkezik, valamint a közös monetáris politika hazai végrehajtásáért felelős, tehát bár nincs önálló monetáris politika, de ez nem azt jelenti hogy a nemzeti jegybankok is megszűnnek létezni), továbbá a tagok Bankunió részévé is válnak. Ez ut</w:t>
      </w:r>
      <w:r>
        <w:rPr>
          <w:rFonts w:ascii="Times New Roman" w:hAnsi="Times New Roman" w:cs="Times New Roman"/>
          <w:sz w:val="24"/>
          <w:szCs w:val="24"/>
        </w:rPr>
        <w:t>ó</w:t>
      </w:r>
      <w:r w:rsidRPr="00495E6A">
        <w:rPr>
          <w:rFonts w:ascii="Times New Roman" w:hAnsi="Times New Roman" w:cs="Times New Roman"/>
          <w:sz w:val="24"/>
          <w:szCs w:val="24"/>
        </w:rPr>
        <w:t>bbi azt jelenti hogy a rendszerszinten fontos hazai bankok is bekerülnek az ECB felügyeleti körébe, illetve krízis esetén lehetőségük van „segítséget kérni” a közös válságkezelési alapból (</w:t>
      </w:r>
      <w:proofErr w:type="spellStart"/>
      <w:r w:rsidRPr="00495E6A">
        <w:rPr>
          <w:rFonts w:ascii="Times New Roman" w:hAnsi="Times New Roman" w:cs="Times New Roman"/>
          <w:sz w:val="24"/>
          <w:szCs w:val="24"/>
        </w:rPr>
        <w:t>Single</w:t>
      </w:r>
      <w:proofErr w:type="spellEnd"/>
      <w:r w:rsidRPr="00495E6A">
        <w:rPr>
          <w:rFonts w:ascii="Times New Roman" w:hAnsi="Times New Roman" w:cs="Times New Roman"/>
          <w:sz w:val="24"/>
          <w:szCs w:val="24"/>
        </w:rPr>
        <w:t xml:space="preserve"> </w:t>
      </w:r>
      <w:proofErr w:type="spellStart"/>
      <w:r w:rsidRPr="00495E6A">
        <w:rPr>
          <w:rFonts w:ascii="Times New Roman" w:hAnsi="Times New Roman" w:cs="Times New Roman"/>
          <w:sz w:val="24"/>
          <w:szCs w:val="24"/>
        </w:rPr>
        <w:t>Resolution</w:t>
      </w:r>
      <w:proofErr w:type="spellEnd"/>
      <w:r w:rsidRPr="00495E6A">
        <w:rPr>
          <w:rFonts w:ascii="Times New Roman" w:hAnsi="Times New Roman" w:cs="Times New Roman"/>
          <w:sz w:val="24"/>
          <w:szCs w:val="24"/>
        </w:rPr>
        <w:t xml:space="preserve"> </w:t>
      </w:r>
      <w:proofErr w:type="spellStart"/>
      <w:r w:rsidRPr="00495E6A">
        <w:rPr>
          <w:rFonts w:ascii="Times New Roman" w:hAnsi="Times New Roman" w:cs="Times New Roman"/>
          <w:sz w:val="24"/>
          <w:szCs w:val="24"/>
        </w:rPr>
        <w:t>Fund</w:t>
      </w:r>
      <w:proofErr w:type="spellEnd"/>
      <w:r w:rsidRPr="00495E6A">
        <w:rPr>
          <w:rFonts w:ascii="Times New Roman" w:hAnsi="Times New Roman" w:cs="Times New Roman"/>
          <w:sz w:val="24"/>
          <w:szCs w:val="24"/>
        </w:rPr>
        <w:t xml:space="preserve">), továbbá az összes bank betétjei 100.000 euróig biztosítva vannak az európai betétbiztosítási alap (European </w:t>
      </w:r>
      <w:proofErr w:type="spellStart"/>
      <w:r w:rsidRPr="00495E6A">
        <w:rPr>
          <w:rFonts w:ascii="Times New Roman" w:hAnsi="Times New Roman" w:cs="Times New Roman"/>
          <w:sz w:val="24"/>
          <w:szCs w:val="24"/>
        </w:rPr>
        <w:t>Deposit</w:t>
      </w:r>
      <w:proofErr w:type="spellEnd"/>
      <w:r w:rsidRPr="00495E6A">
        <w:rPr>
          <w:rFonts w:ascii="Times New Roman" w:hAnsi="Times New Roman" w:cs="Times New Roman"/>
          <w:sz w:val="24"/>
          <w:szCs w:val="24"/>
        </w:rPr>
        <w:t xml:space="preserve"> </w:t>
      </w:r>
      <w:proofErr w:type="spellStart"/>
      <w:r w:rsidRPr="00495E6A">
        <w:rPr>
          <w:rFonts w:ascii="Times New Roman" w:hAnsi="Times New Roman" w:cs="Times New Roman"/>
          <w:sz w:val="24"/>
          <w:szCs w:val="24"/>
        </w:rPr>
        <w:t>Insurance</w:t>
      </w:r>
      <w:proofErr w:type="spellEnd"/>
      <w:r w:rsidRPr="00495E6A">
        <w:rPr>
          <w:rFonts w:ascii="Times New Roman" w:hAnsi="Times New Roman" w:cs="Times New Roman"/>
          <w:sz w:val="24"/>
          <w:szCs w:val="24"/>
        </w:rPr>
        <w:t>) által.</w:t>
      </w:r>
    </w:p>
    <w:p w14:paraId="74B4B754" w14:textId="77777777" w:rsidR="00495E6A" w:rsidRPr="008F2788" w:rsidRDefault="00495E6A" w:rsidP="004272AF">
      <w:pPr>
        <w:spacing w:before="120" w:after="120" w:line="276" w:lineRule="auto"/>
        <w:rPr>
          <w:rFonts w:ascii="Times New Roman" w:hAnsi="Times New Roman" w:cs="Times New Roman"/>
          <w:b/>
          <w:bCs/>
          <w:i/>
          <w:iCs/>
          <w:color w:val="0070C0"/>
          <w:sz w:val="24"/>
          <w:szCs w:val="24"/>
          <w:u w:val="single"/>
        </w:rPr>
      </w:pPr>
      <w:bookmarkStart w:id="13" w:name="_Toc1997837"/>
      <w:bookmarkStart w:id="14" w:name="_Toc34935743"/>
      <w:r w:rsidRPr="008F2788">
        <w:rPr>
          <w:rFonts w:ascii="Times New Roman" w:hAnsi="Times New Roman" w:cs="Times New Roman"/>
          <w:b/>
          <w:bCs/>
          <w:i/>
          <w:iCs/>
          <w:color w:val="0070C0"/>
          <w:sz w:val="24"/>
          <w:szCs w:val="24"/>
          <w:u w:val="single"/>
        </w:rPr>
        <w:t>Választhat egy EU-tagállam lebegő árfolyamrendszert?</w:t>
      </w:r>
      <w:bookmarkEnd w:id="13"/>
      <w:bookmarkEnd w:id="14"/>
    </w:p>
    <w:p w14:paraId="53EA019C" w14:textId="77777777" w:rsidR="00495E6A" w:rsidRPr="00495E6A" w:rsidRDefault="00495E6A" w:rsidP="004272AF">
      <w:pPr>
        <w:spacing w:before="60" w:after="60" w:line="276" w:lineRule="auto"/>
        <w:rPr>
          <w:rFonts w:ascii="Times New Roman" w:hAnsi="Times New Roman" w:cs="Times New Roman"/>
          <w:sz w:val="24"/>
          <w:szCs w:val="24"/>
        </w:rPr>
      </w:pPr>
      <w:r w:rsidRPr="00495E6A">
        <w:rPr>
          <w:rFonts w:ascii="Times New Roman" w:hAnsi="Times New Roman" w:cs="Times New Roman"/>
          <w:sz w:val="24"/>
          <w:szCs w:val="24"/>
        </w:rPr>
        <w:t>Bármely EU-tagállam saját döntése alapján halaszthatja az euró bevez</w:t>
      </w:r>
      <w:r>
        <w:rPr>
          <w:rFonts w:ascii="Times New Roman" w:hAnsi="Times New Roman" w:cs="Times New Roman"/>
          <w:sz w:val="24"/>
          <w:szCs w:val="24"/>
        </w:rPr>
        <w:t>e</w:t>
      </w:r>
      <w:r w:rsidRPr="00495E6A">
        <w:rPr>
          <w:rFonts w:ascii="Times New Roman" w:hAnsi="Times New Roman" w:cs="Times New Roman"/>
          <w:sz w:val="24"/>
          <w:szCs w:val="24"/>
        </w:rPr>
        <w:t xml:space="preserve">tését és bármilyen árfolyamrendszert alkalmazhat (kivéve persze a nem hivatalos bevezetést, a fentebb említett </w:t>
      </w:r>
      <w:proofErr w:type="spellStart"/>
      <w:r w:rsidRPr="00495E6A">
        <w:rPr>
          <w:rFonts w:ascii="Times New Roman" w:hAnsi="Times New Roman" w:cs="Times New Roman"/>
          <w:sz w:val="24"/>
          <w:szCs w:val="24"/>
        </w:rPr>
        <w:t>eurolizációt</w:t>
      </w:r>
      <w:proofErr w:type="spellEnd"/>
      <w:r w:rsidRPr="00495E6A">
        <w:rPr>
          <w:rFonts w:ascii="Times New Roman" w:hAnsi="Times New Roman" w:cs="Times New Roman"/>
          <w:sz w:val="24"/>
          <w:szCs w:val="24"/>
        </w:rPr>
        <w:t>), bár nyilvánvalóan ha egy ország külkereskedelmének nagyon nagy hányada az eurozónával</w:t>
      </w:r>
      <w:r w:rsidR="001D7929">
        <w:rPr>
          <w:rFonts w:ascii="Times New Roman" w:hAnsi="Times New Roman" w:cs="Times New Roman"/>
          <w:sz w:val="24"/>
          <w:szCs w:val="24"/>
        </w:rPr>
        <w:t xml:space="preserve"> szemben</w:t>
      </w:r>
      <w:r w:rsidRPr="00495E6A">
        <w:rPr>
          <w:rFonts w:ascii="Times New Roman" w:hAnsi="Times New Roman" w:cs="Times New Roman"/>
          <w:sz w:val="24"/>
          <w:szCs w:val="24"/>
        </w:rPr>
        <w:t xml:space="preserve"> megy végbe, akkor a saját valutának és a lebegő árfolyamrendszernek a létjogosultsága minimum megkérdőjelezhető, és az előnyeinél erősebbé válnak a hátrányai.</w:t>
      </w:r>
    </w:p>
    <w:p w14:paraId="534C8D52" w14:textId="77777777" w:rsidR="00495E6A" w:rsidRPr="00495E6A" w:rsidRDefault="00495E6A" w:rsidP="004272AF">
      <w:pPr>
        <w:spacing w:before="60" w:after="60" w:line="276" w:lineRule="auto"/>
        <w:rPr>
          <w:rFonts w:ascii="Times New Roman" w:hAnsi="Times New Roman" w:cs="Times New Roman"/>
          <w:sz w:val="24"/>
          <w:szCs w:val="24"/>
        </w:rPr>
      </w:pPr>
      <w:r w:rsidRPr="00495E6A">
        <w:rPr>
          <w:rFonts w:ascii="Times New Roman" w:hAnsi="Times New Roman" w:cs="Times New Roman"/>
          <w:sz w:val="24"/>
          <w:szCs w:val="24"/>
        </w:rPr>
        <w:t xml:space="preserve">A nem eurót használó tagországok tulajdonképpen két féle megoldást választhatnak, </w:t>
      </w:r>
      <w:r w:rsidRPr="001D7929">
        <w:rPr>
          <w:rFonts w:ascii="Times New Roman" w:hAnsi="Times New Roman" w:cs="Times New Roman"/>
          <w:b/>
          <w:bCs/>
          <w:sz w:val="24"/>
          <w:szCs w:val="24"/>
        </w:rPr>
        <w:t>rögzítik az árfolyamukat az euróhoz</w:t>
      </w:r>
      <w:r w:rsidRPr="00495E6A">
        <w:rPr>
          <w:rFonts w:ascii="Times New Roman" w:hAnsi="Times New Roman" w:cs="Times New Roman"/>
          <w:sz w:val="24"/>
          <w:szCs w:val="24"/>
        </w:rPr>
        <w:t xml:space="preserve"> (pl. Dánia, Bulgária), vagy </w:t>
      </w:r>
      <w:r w:rsidRPr="001D7929">
        <w:rPr>
          <w:rFonts w:ascii="Times New Roman" w:hAnsi="Times New Roman" w:cs="Times New Roman"/>
          <w:b/>
          <w:bCs/>
          <w:sz w:val="24"/>
          <w:szCs w:val="24"/>
        </w:rPr>
        <w:t>lebegő árfolyamrendszert használnak</w:t>
      </w:r>
      <w:r w:rsidRPr="00495E6A">
        <w:rPr>
          <w:rFonts w:ascii="Times New Roman" w:hAnsi="Times New Roman" w:cs="Times New Roman"/>
          <w:sz w:val="24"/>
          <w:szCs w:val="24"/>
        </w:rPr>
        <w:t>, ez utóbbi esetben találunk olyan országokat melyek egy folyamatos</w:t>
      </w:r>
      <w:r w:rsidR="001D7929">
        <w:rPr>
          <w:rFonts w:ascii="Times New Roman" w:hAnsi="Times New Roman" w:cs="Times New Roman"/>
          <w:sz w:val="24"/>
          <w:szCs w:val="24"/>
        </w:rPr>
        <w:t xml:space="preserve"> </w:t>
      </w:r>
      <w:r w:rsidRPr="00495E6A">
        <w:rPr>
          <w:rFonts w:ascii="Times New Roman" w:hAnsi="Times New Roman" w:cs="Times New Roman"/>
          <w:sz w:val="24"/>
          <w:szCs w:val="24"/>
        </w:rPr>
        <w:t>felértékelődéssel működnek az elmúlt években (Csehország, Svédország), illetve gyengülő árfolyamtrenddel rendelkező országokat (Magyarország, Románia). Az önálló pénznem megtartása és a lebegő árfolyamrendszer használata mellett is számos érv szól (lásd az árfolyamrendszerek fejezetben), ezért is nincs tervben az euró bevezetése rövid vagy középtávon sok ország esetében.</w:t>
      </w:r>
    </w:p>
    <w:p w14:paraId="3AD65FDA" w14:textId="77777777" w:rsidR="00495E6A" w:rsidRPr="005F4DDE" w:rsidRDefault="00495E6A" w:rsidP="004272AF">
      <w:pPr>
        <w:spacing w:before="120" w:after="120" w:line="276" w:lineRule="auto"/>
        <w:rPr>
          <w:rFonts w:ascii="Times New Roman" w:hAnsi="Times New Roman" w:cs="Times New Roman"/>
          <w:b/>
          <w:bCs/>
          <w:i/>
          <w:iCs/>
          <w:color w:val="0070C0"/>
          <w:sz w:val="24"/>
          <w:szCs w:val="24"/>
          <w:u w:val="single"/>
        </w:rPr>
      </w:pPr>
      <w:bookmarkStart w:id="15" w:name="_Toc1997840"/>
      <w:bookmarkStart w:id="16" w:name="_Toc34935744"/>
      <w:r w:rsidRPr="005F4DDE">
        <w:rPr>
          <w:rFonts w:ascii="Times New Roman" w:hAnsi="Times New Roman" w:cs="Times New Roman"/>
          <w:b/>
          <w:bCs/>
          <w:i/>
          <w:iCs/>
          <w:color w:val="0070C0"/>
          <w:sz w:val="24"/>
          <w:szCs w:val="24"/>
          <w:u w:val="single"/>
        </w:rPr>
        <w:t>Miért nincs rögzítve az euró árfolyama?</w:t>
      </w:r>
      <w:bookmarkEnd w:id="15"/>
      <w:bookmarkEnd w:id="16"/>
    </w:p>
    <w:p w14:paraId="4D27F899" w14:textId="77777777" w:rsidR="00495E6A" w:rsidRPr="00E026F4" w:rsidRDefault="00495E6A" w:rsidP="004272AF">
      <w:pPr>
        <w:spacing w:before="60" w:after="60" w:line="276" w:lineRule="auto"/>
      </w:pPr>
      <w:r w:rsidRPr="00495E6A">
        <w:rPr>
          <w:rFonts w:ascii="Times New Roman" w:hAnsi="Times New Roman" w:cs="Times New Roman"/>
          <w:sz w:val="24"/>
          <w:szCs w:val="24"/>
        </w:rPr>
        <w:t xml:space="preserve">Tulajdonképpen az euró lebegő árfolyama magától értetődik, hiszen nincs nagyon más olyan erős </w:t>
      </w:r>
      <w:proofErr w:type="gramStart"/>
      <w:r w:rsidRPr="00495E6A">
        <w:rPr>
          <w:rFonts w:ascii="Times New Roman" w:hAnsi="Times New Roman" w:cs="Times New Roman"/>
          <w:sz w:val="24"/>
          <w:szCs w:val="24"/>
        </w:rPr>
        <w:t>gazdaság</w:t>
      </w:r>
      <w:proofErr w:type="gramEnd"/>
      <w:r w:rsidRPr="00495E6A">
        <w:rPr>
          <w:rFonts w:ascii="Times New Roman" w:hAnsi="Times New Roman" w:cs="Times New Roman"/>
          <w:sz w:val="24"/>
          <w:szCs w:val="24"/>
        </w:rPr>
        <w:t xml:space="preserve"> aminek a fizetőeszközéhez lehetne kötni. Egyedül az Egyesült Államok jöhetne szóba, hiszen az euróövezet GDP-jénél csak az USA GDP-je magasabb. A dollárhoz való </w:t>
      </w:r>
      <w:r w:rsidRPr="00495E6A">
        <w:rPr>
          <w:rFonts w:ascii="Times New Roman" w:hAnsi="Times New Roman" w:cs="Times New Roman"/>
          <w:sz w:val="24"/>
          <w:szCs w:val="24"/>
        </w:rPr>
        <w:lastRenderedPageBreak/>
        <w:t>rögzítésnek pedig láttuk a Bretton Woods-i rendszernél a nem túl pozitív eredményét. Esetleg a harmadik legnagyobb hatalom, Kína fizetőeszköze, a yüan (renminbi) jöhetne szóba, de az is a dollárhoz van rögzítve, így indirekt módon ugyanúgy az Egyesült Államok fizetőeszközéhez lenne kötve.</w:t>
      </w:r>
      <w:r>
        <w:t xml:space="preserve"> </w:t>
      </w:r>
    </w:p>
    <w:p w14:paraId="1178ED96" w14:textId="77777777" w:rsidR="00495E6A" w:rsidRPr="00BD3D13" w:rsidRDefault="00BD3D13" w:rsidP="004272AF">
      <w:pPr>
        <w:spacing w:before="120" w:after="120" w:line="276" w:lineRule="auto"/>
        <w:rPr>
          <w:rFonts w:ascii="Times New Roman" w:hAnsi="Times New Roman" w:cs="Times New Roman"/>
          <w:b/>
          <w:bCs/>
          <w:i/>
          <w:iCs/>
          <w:sz w:val="24"/>
          <w:szCs w:val="24"/>
        </w:rPr>
      </w:pPr>
      <w:r>
        <w:rPr>
          <w:rFonts w:ascii="Times New Roman" w:hAnsi="Times New Roman" w:cs="Times New Roman"/>
          <w:b/>
          <w:bCs/>
          <w:i/>
          <w:iCs/>
          <w:sz w:val="24"/>
          <w:szCs w:val="24"/>
        </w:rPr>
        <w:t>Felhasznált irodalom</w:t>
      </w:r>
    </w:p>
    <w:p w14:paraId="673F4B76" w14:textId="7238BCAB" w:rsidR="00100F6F" w:rsidRDefault="00495E6A" w:rsidP="004272AF">
      <w:pPr>
        <w:spacing w:line="276" w:lineRule="auto"/>
        <w:rPr>
          <w:rFonts w:ascii="Times New Roman" w:hAnsi="Times New Roman" w:cs="Times New Roman"/>
          <w:sz w:val="24"/>
          <w:szCs w:val="24"/>
        </w:rPr>
      </w:pPr>
      <w:proofErr w:type="spellStart"/>
      <w:r w:rsidRPr="00BD3D13">
        <w:rPr>
          <w:rFonts w:ascii="Times New Roman" w:hAnsi="Times New Roman" w:cs="Times New Roman"/>
          <w:sz w:val="24"/>
          <w:szCs w:val="24"/>
        </w:rPr>
        <w:t>Melvin</w:t>
      </w:r>
      <w:proofErr w:type="spellEnd"/>
      <w:r w:rsidR="00BD3D13">
        <w:rPr>
          <w:rFonts w:ascii="Times New Roman" w:hAnsi="Times New Roman" w:cs="Times New Roman"/>
          <w:sz w:val="24"/>
          <w:szCs w:val="24"/>
        </w:rPr>
        <w:t>, M.</w:t>
      </w:r>
      <w:r w:rsidRPr="00BD3D13">
        <w:rPr>
          <w:rFonts w:ascii="Times New Roman" w:hAnsi="Times New Roman" w:cs="Times New Roman"/>
          <w:sz w:val="24"/>
          <w:szCs w:val="24"/>
        </w:rPr>
        <w:t xml:space="preserve"> </w:t>
      </w:r>
      <w:r w:rsidR="00BD3D13">
        <w:rPr>
          <w:rFonts w:ascii="Times New Roman" w:hAnsi="Times New Roman" w:cs="Times New Roman"/>
          <w:sz w:val="24"/>
          <w:szCs w:val="24"/>
        </w:rPr>
        <w:t>–</w:t>
      </w:r>
      <w:r w:rsidR="00AE69DE">
        <w:rPr>
          <w:rFonts w:ascii="Times New Roman" w:hAnsi="Times New Roman" w:cs="Times New Roman"/>
          <w:sz w:val="24"/>
          <w:szCs w:val="24"/>
        </w:rPr>
        <w:t xml:space="preserve"> </w:t>
      </w:r>
      <w:proofErr w:type="spellStart"/>
      <w:r w:rsidR="00BD3D13">
        <w:rPr>
          <w:rFonts w:ascii="Times New Roman" w:hAnsi="Times New Roman" w:cs="Times New Roman"/>
          <w:sz w:val="24"/>
          <w:szCs w:val="24"/>
        </w:rPr>
        <w:t>N</w:t>
      </w:r>
      <w:r w:rsidRPr="00BD3D13">
        <w:rPr>
          <w:rFonts w:ascii="Times New Roman" w:hAnsi="Times New Roman" w:cs="Times New Roman"/>
          <w:sz w:val="24"/>
          <w:szCs w:val="24"/>
        </w:rPr>
        <w:t>orrbin</w:t>
      </w:r>
      <w:proofErr w:type="spellEnd"/>
      <w:r w:rsidR="00BD3D13">
        <w:rPr>
          <w:rFonts w:ascii="Times New Roman" w:hAnsi="Times New Roman" w:cs="Times New Roman"/>
          <w:sz w:val="24"/>
          <w:szCs w:val="24"/>
        </w:rPr>
        <w:t>, S.</w:t>
      </w:r>
      <w:r w:rsidRPr="00BD3D13">
        <w:rPr>
          <w:rFonts w:ascii="Times New Roman" w:hAnsi="Times New Roman" w:cs="Times New Roman"/>
          <w:sz w:val="24"/>
          <w:szCs w:val="24"/>
        </w:rPr>
        <w:t xml:space="preserve"> (2013): </w:t>
      </w:r>
      <w:r w:rsidRPr="00BD3D13">
        <w:rPr>
          <w:rFonts w:ascii="Times New Roman" w:hAnsi="Times New Roman" w:cs="Times New Roman"/>
          <w:i/>
          <w:iCs/>
          <w:sz w:val="24"/>
          <w:szCs w:val="24"/>
        </w:rPr>
        <w:t xml:space="preserve">International </w:t>
      </w:r>
      <w:proofErr w:type="spellStart"/>
      <w:r w:rsidRPr="00BD3D13">
        <w:rPr>
          <w:rFonts w:ascii="Times New Roman" w:hAnsi="Times New Roman" w:cs="Times New Roman"/>
          <w:i/>
          <w:iCs/>
          <w:sz w:val="24"/>
          <w:szCs w:val="24"/>
        </w:rPr>
        <w:t>money</w:t>
      </w:r>
      <w:proofErr w:type="spellEnd"/>
      <w:r w:rsidRPr="00BD3D13">
        <w:rPr>
          <w:rFonts w:ascii="Times New Roman" w:hAnsi="Times New Roman" w:cs="Times New Roman"/>
          <w:i/>
          <w:iCs/>
          <w:sz w:val="24"/>
          <w:szCs w:val="24"/>
        </w:rPr>
        <w:t xml:space="preserve"> and </w:t>
      </w:r>
      <w:proofErr w:type="spellStart"/>
      <w:r w:rsidRPr="00BD3D13">
        <w:rPr>
          <w:rFonts w:ascii="Times New Roman" w:hAnsi="Times New Roman" w:cs="Times New Roman"/>
          <w:i/>
          <w:iCs/>
          <w:sz w:val="24"/>
          <w:szCs w:val="24"/>
        </w:rPr>
        <w:t>finance</w:t>
      </w:r>
      <w:proofErr w:type="spellEnd"/>
      <w:r w:rsidRPr="00BD3D13">
        <w:rPr>
          <w:rFonts w:ascii="Times New Roman" w:hAnsi="Times New Roman" w:cs="Times New Roman"/>
          <w:i/>
          <w:iCs/>
          <w:sz w:val="24"/>
          <w:szCs w:val="24"/>
        </w:rPr>
        <w:t>.</w:t>
      </w:r>
      <w:r w:rsidRPr="00BD3D13">
        <w:rPr>
          <w:rFonts w:ascii="Times New Roman" w:hAnsi="Times New Roman" w:cs="Times New Roman"/>
          <w:sz w:val="24"/>
          <w:szCs w:val="24"/>
        </w:rPr>
        <w:t xml:space="preserve"> </w:t>
      </w:r>
      <w:proofErr w:type="spellStart"/>
      <w:r w:rsidRPr="00BD3D13">
        <w:rPr>
          <w:rFonts w:ascii="Times New Roman" w:hAnsi="Times New Roman" w:cs="Times New Roman"/>
          <w:sz w:val="24"/>
          <w:szCs w:val="24"/>
        </w:rPr>
        <w:t>Elsevier</w:t>
      </w:r>
      <w:proofErr w:type="spellEnd"/>
      <w:r w:rsidR="00BD3D13">
        <w:rPr>
          <w:rFonts w:ascii="Times New Roman" w:hAnsi="Times New Roman" w:cs="Times New Roman"/>
          <w:sz w:val="24"/>
          <w:szCs w:val="24"/>
        </w:rPr>
        <w:t>.</w:t>
      </w:r>
    </w:p>
    <w:p w14:paraId="023EE203" w14:textId="77777777" w:rsidR="008F2788" w:rsidRDefault="008F2788" w:rsidP="008F2788">
      <w:pPr>
        <w:spacing w:before="240" w:after="120"/>
        <w:rPr>
          <w:rFonts w:ascii="Times New Roman" w:eastAsia="Calibri" w:hAnsi="Times New Roman" w:cs="Times New Roman"/>
          <w:b/>
          <w:sz w:val="28"/>
          <w:szCs w:val="28"/>
        </w:rPr>
      </w:pPr>
      <w:r w:rsidRPr="00625D31">
        <w:rPr>
          <w:rFonts w:ascii="Times New Roman" w:eastAsia="Calibri" w:hAnsi="Times New Roman" w:cs="Times New Roman"/>
          <w:b/>
          <w:sz w:val="28"/>
          <w:szCs w:val="28"/>
        </w:rPr>
        <w:t>Önellenőrző kérdések:</w:t>
      </w:r>
    </w:p>
    <w:p w14:paraId="41712F08" w14:textId="6B945202" w:rsidR="008F2788" w:rsidRDefault="008F2788" w:rsidP="008F2788">
      <w:pPr>
        <w:rPr>
          <w:rFonts w:ascii="Times New Roman" w:eastAsia="Calibri" w:hAnsi="Times New Roman" w:cs="Times New Roman"/>
          <w:bCs/>
          <w:sz w:val="24"/>
          <w:szCs w:val="24"/>
        </w:rPr>
      </w:pPr>
      <w:r>
        <w:rPr>
          <w:rFonts w:ascii="Times New Roman" w:eastAsia="Calibri" w:hAnsi="Times New Roman" w:cs="Times New Roman"/>
          <w:noProof/>
          <w:sz w:val="24"/>
          <w:szCs w:val="24"/>
          <w:lang w:eastAsia="hu-HU"/>
        </w:rPr>
        <mc:AlternateContent>
          <mc:Choice Requires="wps">
            <w:drawing>
              <wp:inline distT="0" distB="0" distL="0" distR="0" wp14:anchorId="459E252D" wp14:editId="5F05001E">
                <wp:extent cx="5760720" cy="1028700"/>
                <wp:effectExtent l="0" t="0" r="11430" b="19050"/>
                <wp:docPr id="13" name="Szövegdoboz 13"/>
                <wp:cNvGraphicFramePr/>
                <a:graphic xmlns:a="http://schemas.openxmlformats.org/drawingml/2006/main">
                  <a:graphicData uri="http://schemas.microsoft.com/office/word/2010/wordprocessingShape">
                    <wps:wsp>
                      <wps:cNvSpPr txBox="1"/>
                      <wps:spPr>
                        <a:xfrm>
                          <a:off x="0" y="0"/>
                          <a:ext cx="5760720" cy="1028700"/>
                        </a:xfrm>
                        <a:prstGeom prst="rect">
                          <a:avLst/>
                        </a:prstGeom>
                        <a:solidFill>
                          <a:schemeClr val="bg2">
                            <a:lumMod val="90000"/>
                          </a:schemeClr>
                        </a:solidFill>
                        <a:ln w="6350">
                          <a:solidFill>
                            <a:prstClr val="black"/>
                          </a:solidFill>
                        </a:ln>
                      </wps:spPr>
                      <wps:txbx>
                        <w:txbxContent>
                          <w:p w14:paraId="36BC098B" w14:textId="77777777" w:rsidR="008F2788" w:rsidRPr="008F2788" w:rsidRDefault="008F2788" w:rsidP="008F2788">
                            <w:pPr>
                              <w:pStyle w:val="Listaszerbekezds"/>
                              <w:numPr>
                                <w:ilvl w:val="0"/>
                                <w:numId w:val="5"/>
                              </w:numPr>
                              <w:ind w:left="357" w:hanging="357"/>
                              <w:contextualSpacing w:val="0"/>
                              <w:rPr>
                                <w:rFonts w:ascii="Times New Roman" w:hAnsi="Times New Roman" w:cs="Times New Roman"/>
                                <w:sz w:val="24"/>
                                <w:szCs w:val="24"/>
                              </w:rPr>
                            </w:pPr>
                            <w:r w:rsidRPr="008F2788">
                              <w:rPr>
                                <w:rFonts w:ascii="Times New Roman" w:hAnsi="Times New Roman" w:cs="Times New Roman"/>
                                <w:sz w:val="24"/>
                                <w:szCs w:val="24"/>
                              </w:rPr>
                              <w:t>Mi az az ECU és milyen szerepet töltött be az európai integrációban?</w:t>
                            </w:r>
                          </w:p>
                          <w:p w14:paraId="66C6EB2A" w14:textId="77777777" w:rsidR="008F2788" w:rsidRPr="008F2788" w:rsidRDefault="008F2788" w:rsidP="008F2788">
                            <w:pPr>
                              <w:pStyle w:val="Listaszerbekezds"/>
                              <w:numPr>
                                <w:ilvl w:val="0"/>
                                <w:numId w:val="5"/>
                              </w:numPr>
                              <w:ind w:left="357" w:hanging="357"/>
                              <w:contextualSpacing w:val="0"/>
                              <w:rPr>
                                <w:rFonts w:ascii="Times New Roman" w:hAnsi="Times New Roman" w:cs="Times New Roman"/>
                                <w:sz w:val="24"/>
                                <w:szCs w:val="24"/>
                              </w:rPr>
                            </w:pPr>
                            <w:r w:rsidRPr="008F2788">
                              <w:rPr>
                                <w:rFonts w:ascii="Times New Roman" w:hAnsi="Times New Roman" w:cs="Times New Roman"/>
                                <w:sz w:val="24"/>
                                <w:szCs w:val="24"/>
                              </w:rPr>
                              <w:t>Milyen előnyei és hátrányai lehetnek a közös valuta bevezetésének?</w:t>
                            </w:r>
                          </w:p>
                          <w:p w14:paraId="7838AA02" w14:textId="77777777" w:rsidR="008F2788" w:rsidRPr="008F2788" w:rsidRDefault="008F2788" w:rsidP="008F2788">
                            <w:pPr>
                              <w:pStyle w:val="Listaszerbekezds"/>
                              <w:numPr>
                                <w:ilvl w:val="0"/>
                                <w:numId w:val="5"/>
                              </w:numPr>
                              <w:ind w:left="357" w:hanging="357"/>
                              <w:contextualSpacing w:val="0"/>
                              <w:rPr>
                                <w:rFonts w:ascii="Times New Roman" w:hAnsi="Times New Roman" w:cs="Times New Roman"/>
                                <w:sz w:val="24"/>
                                <w:szCs w:val="24"/>
                              </w:rPr>
                            </w:pPr>
                            <w:r w:rsidRPr="008F2788">
                              <w:rPr>
                                <w:rFonts w:ascii="Times New Roman" w:hAnsi="Times New Roman" w:cs="Times New Roman"/>
                                <w:sz w:val="24"/>
                                <w:szCs w:val="24"/>
                              </w:rPr>
                              <w:t>Mi az az eurolizáció?</w:t>
                            </w:r>
                          </w:p>
                          <w:p w14:paraId="30DF0351" w14:textId="77777777" w:rsidR="008F2788" w:rsidRPr="008F2788" w:rsidRDefault="008F2788" w:rsidP="008F2788">
                            <w:pPr>
                              <w:pStyle w:val="Listaszerbekezds"/>
                              <w:numPr>
                                <w:ilvl w:val="0"/>
                                <w:numId w:val="5"/>
                              </w:numPr>
                              <w:contextualSpacing w:val="0"/>
                              <w:rPr>
                                <w:rFonts w:ascii="Times New Roman" w:hAnsi="Times New Roman" w:cs="Times New Roman"/>
                                <w:sz w:val="24"/>
                                <w:szCs w:val="24"/>
                              </w:rPr>
                            </w:pPr>
                            <w:r w:rsidRPr="008F2788">
                              <w:rPr>
                                <w:rFonts w:ascii="Times New Roman" w:hAnsi="Times New Roman" w:cs="Times New Roman"/>
                                <w:sz w:val="24"/>
                                <w:szCs w:val="24"/>
                              </w:rPr>
                              <w:t xml:space="preserve">Mit értünk valutakígyó kifejezés alatt? </w:t>
                            </w:r>
                          </w:p>
                          <w:p w14:paraId="768F062D" w14:textId="77777777" w:rsidR="008F2788" w:rsidRPr="008F2788" w:rsidRDefault="008F2788" w:rsidP="008F2788">
                            <w:pPr>
                              <w:pStyle w:val="Listaszerbekezds"/>
                              <w:numPr>
                                <w:ilvl w:val="0"/>
                                <w:numId w:val="5"/>
                              </w:numPr>
                              <w:contextualSpacing w:val="0"/>
                              <w:rPr>
                                <w:rFonts w:ascii="Times New Roman" w:hAnsi="Times New Roman" w:cs="Times New Roman"/>
                                <w:sz w:val="24"/>
                                <w:szCs w:val="24"/>
                              </w:rPr>
                            </w:pPr>
                            <w:r w:rsidRPr="008F2788">
                              <w:rPr>
                                <w:rFonts w:ascii="Times New Roman" w:hAnsi="Times New Roman" w:cs="Times New Roman"/>
                                <w:sz w:val="24"/>
                                <w:szCs w:val="24"/>
                              </w:rPr>
                              <w:t>Milyen kritériumokat kell teljesítenie egy EU-tagállamnak, hogy bevezethesse az eurót?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59E252D" id="_x0000_t202" coordsize="21600,21600" o:spt="202" path="m,l,21600r21600,l21600,xe">
                <v:stroke joinstyle="miter"/>
                <v:path gradientshapeok="t" o:connecttype="rect"/>
              </v:shapetype>
              <v:shape id="Szövegdoboz 13" o:spid="_x0000_s1026" type="#_x0000_t202" style="width:453.6pt;height: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" fillcolor="#cfcdcd [2894]" strokeweight=".5pt">
                <v:textbox>
                  <w:txbxContent>
                    <w:p w14:paraId="36BC098B" w14:textId="77777777" w:rsidR="008F2788" w:rsidRPr="008F2788" w:rsidRDefault="008F2788" w:rsidP="008F2788">
                      <w:pPr>
                        <w:pStyle w:val="Listaszerbekezds"/>
                        <w:numPr>
                          <w:ilvl w:val="0"/>
                          <w:numId w:val="5"/>
                        </w:numPr>
                        <w:ind w:left="357" w:hanging="357"/>
                        <w:contextualSpacing w:val="0"/>
                        <w:rPr>
                          <w:rFonts w:ascii="Times New Roman" w:hAnsi="Times New Roman" w:cs="Times New Roman"/>
                          <w:sz w:val="24"/>
                          <w:szCs w:val="24"/>
                        </w:rPr>
                      </w:pPr>
                      <w:r w:rsidRPr="008F2788">
                        <w:rPr>
                          <w:rFonts w:ascii="Times New Roman" w:hAnsi="Times New Roman" w:cs="Times New Roman"/>
                          <w:sz w:val="24"/>
                          <w:szCs w:val="24"/>
                        </w:rPr>
                        <w:t>Mi az az ECU és milyen szerepet töltött be az európai integrációban?</w:t>
                      </w:r>
                    </w:p>
                    <w:p w14:paraId="66C6EB2A" w14:textId="77777777" w:rsidR="008F2788" w:rsidRPr="008F2788" w:rsidRDefault="008F2788" w:rsidP="008F2788">
                      <w:pPr>
                        <w:pStyle w:val="Listaszerbekezds"/>
                        <w:numPr>
                          <w:ilvl w:val="0"/>
                          <w:numId w:val="5"/>
                        </w:numPr>
                        <w:ind w:left="357" w:hanging="357"/>
                        <w:contextualSpacing w:val="0"/>
                        <w:rPr>
                          <w:rFonts w:ascii="Times New Roman" w:hAnsi="Times New Roman" w:cs="Times New Roman"/>
                          <w:sz w:val="24"/>
                          <w:szCs w:val="24"/>
                        </w:rPr>
                      </w:pPr>
                      <w:r w:rsidRPr="008F2788">
                        <w:rPr>
                          <w:rFonts w:ascii="Times New Roman" w:hAnsi="Times New Roman" w:cs="Times New Roman"/>
                          <w:sz w:val="24"/>
                          <w:szCs w:val="24"/>
                        </w:rPr>
                        <w:t>Milyen előnyei és hátrányai lehetnek a közös valuta bevezetésének?</w:t>
                      </w:r>
                    </w:p>
                    <w:p w14:paraId="7838AA02" w14:textId="77777777" w:rsidR="008F2788" w:rsidRPr="008F2788" w:rsidRDefault="008F2788" w:rsidP="008F2788">
                      <w:pPr>
                        <w:pStyle w:val="Listaszerbekezds"/>
                        <w:numPr>
                          <w:ilvl w:val="0"/>
                          <w:numId w:val="5"/>
                        </w:numPr>
                        <w:ind w:left="357" w:hanging="357"/>
                        <w:contextualSpacing w:val="0"/>
                        <w:rPr>
                          <w:rFonts w:ascii="Times New Roman" w:hAnsi="Times New Roman" w:cs="Times New Roman"/>
                          <w:sz w:val="24"/>
                          <w:szCs w:val="24"/>
                        </w:rPr>
                      </w:pPr>
                      <w:r w:rsidRPr="008F2788">
                        <w:rPr>
                          <w:rFonts w:ascii="Times New Roman" w:hAnsi="Times New Roman" w:cs="Times New Roman"/>
                          <w:sz w:val="24"/>
                          <w:szCs w:val="24"/>
                        </w:rPr>
                        <w:t>Mi az az eurolizáció?</w:t>
                      </w:r>
                    </w:p>
                    <w:p w14:paraId="30DF0351" w14:textId="77777777" w:rsidR="008F2788" w:rsidRPr="008F2788" w:rsidRDefault="008F2788" w:rsidP="008F2788">
                      <w:pPr>
                        <w:pStyle w:val="Listaszerbekezds"/>
                        <w:numPr>
                          <w:ilvl w:val="0"/>
                          <w:numId w:val="5"/>
                        </w:numPr>
                        <w:contextualSpacing w:val="0"/>
                        <w:rPr>
                          <w:rFonts w:ascii="Times New Roman" w:hAnsi="Times New Roman" w:cs="Times New Roman"/>
                          <w:sz w:val="24"/>
                          <w:szCs w:val="24"/>
                        </w:rPr>
                      </w:pPr>
                      <w:r w:rsidRPr="008F2788">
                        <w:rPr>
                          <w:rFonts w:ascii="Times New Roman" w:hAnsi="Times New Roman" w:cs="Times New Roman"/>
                          <w:sz w:val="24"/>
                          <w:szCs w:val="24"/>
                        </w:rPr>
                        <w:t xml:space="preserve">Mit értünk valutakígyó kifejezés alatt? </w:t>
                      </w:r>
                    </w:p>
                    <w:p w14:paraId="768F062D" w14:textId="77777777" w:rsidR="008F2788" w:rsidRPr="008F2788" w:rsidRDefault="008F2788" w:rsidP="008F2788">
                      <w:pPr>
                        <w:pStyle w:val="Listaszerbekezds"/>
                        <w:numPr>
                          <w:ilvl w:val="0"/>
                          <w:numId w:val="5"/>
                        </w:numPr>
                        <w:contextualSpacing w:val="0"/>
                        <w:rPr>
                          <w:rFonts w:ascii="Times New Roman" w:hAnsi="Times New Roman" w:cs="Times New Roman"/>
                          <w:sz w:val="24"/>
                          <w:szCs w:val="24"/>
                        </w:rPr>
                      </w:pPr>
                      <w:r w:rsidRPr="008F2788">
                        <w:rPr>
                          <w:rFonts w:ascii="Times New Roman" w:hAnsi="Times New Roman" w:cs="Times New Roman"/>
                          <w:sz w:val="24"/>
                          <w:szCs w:val="24"/>
                        </w:rPr>
                        <w:t>Milyen kritériumokat kell teljesítenie egy EU-tagállamnak, hogy bevezethesse az eurót?</w:t>
                      </w:r>
                    </w:p>
                  </w:txbxContent>
                </v:textbox>
                <w10:anchorlock/>
              </v:shape>
            </w:pict>
          </mc:Fallback>
        </mc:AlternateContent>
      </w:r>
    </w:p>
    <w:p w14:paraId="341AF836" w14:textId="7BB9464C" w:rsidR="005A3ED8" w:rsidRDefault="005A3ED8" w:rsidP="008F2788">
      <w:pPr>
        <w:rPr>
          <w:rFonts w:ascii="Times New Roman" w:eastAsia="Calibri" w:hAnsi="Times New Roman" w:cs="Times New Roman"/>
          <w:bCs/>
          <w:sz w:val="24"/>
          <w:szCs w:val="24"/>
        </w:rPr>
      </w:pPr>
    </w:p>
    <w:p w14:paraId="7A3DD518" w14:textId="77777777" w:rsidR="005A3ED8" w:rsidRDefault="005A3ED8" w:rsidP="005A3ED8">
      <w:pPr>
        <w:rPr>
          <w:rFonts w:ascii="Times New Roman" w:eastAsia="Calibri" w:hAnsi="Times New Roman" w:cs="Times New Roman"/>
          <w:bCs/>
          <w:sz w:val="24"/>
          <w:szCs w:val="24"/>
        </w:rPr>
      </w:pPr>
    </w:p>
    <w:p w14:paraId="46BF115A" w14:textId="77777777" w:rsidR="005A3ED8" w:rsidRDefault="005A3ED8" w:rsidP="005A3ED8">
      <w:pPr>
        <w:rPr>
          <w:rFonts w:ascii="Times New Roman" w:eastAsia="Calibri" w:hAnsi="Times New Roman" w:cs="Times New Roman"/>
          <w:bCs/>
          <w:sz w:val="24"/>
          <w:szCs w:val="24"/>
        </w:rPr>
      </w:pPr>
    </w:p>
    <w:p w14:paraId="6AD1FCF6" w14:textId="77777777" w:rsidR="005A3ED8" w:rsidRDefault="005A3ED8" w:rsidP="005A3ED8">
      <w:pPr>
        <w:rPr>
          <w:rFonts w:ascii="Times New Roman" w:eastAsia="Calibri" w:hAnsi="Times New Roman" w:cs="Times New Roman"/>
          <w:bCs/>
          <w:sz w:val="24"/>
          <w:szCs w:val="24"/>
        </w:rPr>
      </w:pPr>
    </w:p>
    <w:p w14:paraId="621F47E6" w14:textId="77777777" w:rsidR="005A3ED8" w:rsidRDefault="005A3ED8" w:rsidP="005A3ED8">
      <w:pPr>
        <w:rPr>
          <w:rFonts w:ascii="Times New Roman" w:eastAsia="Calibri" w:hAnsi="Times New Roman" w:cs="Times New Roman"/>
          <w:bCs/>
          <w:sz w:val="24"/>
          <w:szCs w:val="24"/>
        </w:rPr>
      </w:pPr>
    </w:p>
    <w:p w14:paraId="4EF5EED8" w14:textId="77777777" w:rsidR="005A3ED8" w:rsidRDefault="005A3ED8" w:rsidP="005A3ED8">
      <w:pPr>
        <w:rPr>
          <w:rFonts w:ascii="Times New Roman" w:eastAsia="Calibri" w:hAnsi="Times New Roman" w:cs="Times New Roman"/>
          <w:bCs/>
          <w:sz w:val="24"/>
          <w:szCs w:val="24"/>
        </w:rPr>
      </w:pPr>
    </w:p>
    <w:p w14:paraId="4D45DB1B" w14:textId="77777777" w:rsidR="005A3ED8" w:rsidRDefault="005A3ED8" w:rsidP="005A3ED8">
      <w:pPr>
        <w:rPr>
          <w:rFonts w:ascii="Times New Roman" w:eastAsia="Calibri" w:hAnsi="Times New Roman" w:cs="Times New Roman"/>
          <w:bCs/>
          <w:sz w:val="24"/>
          <w:szCs w:val="24"/>
        </w:rPr>
      </w:pPr>
    </w:p>
    <w:p w14:paraId="5F716C1C" w14:textId="77777777" w:rsidR="005A3ED8" w:rsidRDefault="005A3ED8" w:rsidP="005A3ED8">
      <w:pPr>
        <w:rPr>
          <w:rFonts w:ascii="Times New Roman" w:eastAsia="Calibri" w:hAnsi="Times New Roman" w:cs="Times New Roman"/>
          <w:bCs/>
          <w:sz w:val="24"/>
          <w:szCs w:val="24"/>
        </w:rPr>
      </w:pPr>
    </w:p>
    <w:p w14:paraId="346C780B" w14:textId="77777777" w:rsidR="005A3ED8" w:rsidRDefault="005A3ED8" w:rsidP="005A3ED8">
      <w:pPr>
        <w:rPr>
          <w:rFonts w:ascii="Times New Roman" w:eastAsia="Calibri" w:hAnsi="Times New Roman" w:cs="Times New Roman"/>
          <w:bCs/>
          <w:sz w:val="24"/>
          <w:szCs w:val="24"/>
        </w:rPr>
      </w:pPr>
    </w:p>
    <w:p w14:paraId="51885064" w14:textId="77777777" w:rsidR="005A3ED8" w:rsidRDefault="005A3ED8" w:rsidP="005A3ED8">
      <w:pPr>
        <w:rPr>
          <w:rFonts w:ascii="Times New Roman" w:eastAsia="Calibri" w:hAnsi="Times New Roman" w:cs="Times New Roman"/>
          <w:bCs/>
          <w:sz w:val="24"/>
          <w:szCs w:val="24"/>
        </w:rPr>
      </w:pPr>
    </w:p>
    <w:p w14:paraId="55F21593" w14:textId="77777777" w:rsidR="005A3ED8" w:rsidRDefault="005A3ED8" w:rsidP="005A3ED8">
      <w:pPr>
        <w:rPr>
          <w:rFonts w:ascii="Times New Roman" w:eastAsia="Calibri" w:hAnsi="Times New Roman" w:cs="Times New Roman"/>
          <w:bCs/>
          <w:sz w:val="24"/>
          <w:szCs w:val="24"/>
        </w:rPr>
      </w:pPr>
    </w:p>
    <w:p w14:paraId="2CCBF396" w14:textId="77777777" w:rsidR="005A3ED8" w:rsidRDefault="005A3ED8" w:rsidP="005A3ED8">
      <w:pPr>
        <w:rPr>
          <w:rFonts w:ascii="Times New Roman" w:eastAsia="Calibri" w:hAnsi="Times New Roman" w:cs="Times New Roman"/>
          <w:bCs/>
          <w:sz w:val="24"/>
          <w:szCs w:val="24"/>
        </w:rPr>
      </w:pPr>
    </w:p>
    <w:p w14:paraId="79218CA5" w14:textId="77777777" w:rsidR="005A3ED8" w:rsidRDefault="005A3ED8" w:rsidP="005A3ED8">
      <w:pPr>
        <w:rPr>
          <w:rFonts w:ascii="Times New Roman" w:eastAsia="Calibri" w:hAnsi="Times New Roman" w:cs="Times New Roman"/>
          <w:bCs/>
          <w:sz w:val="24"/>
          <w:szCs w:val="24"/>
        </w:rPr>
      </w:pPr>
    </w:p>
    <w:p w14:paraId="477DF715" w14:textId="77777777" w:rsidR="005A3ED8" w:rsidRDefault="005A3ED8" w:rsidP="005A3ED8">
      <w:pPr>
        <w:rPr>
          <w:rFonts w:ascii="Times New Roman" w:eastAsia="Calibri" w:hAnsi="Times New Roman" w:cs="Times New Roman"/>
          <w:bCs/>
          <w:sz w:val="24"/>
          <w:szCs w:val="24"/>
        </w:rPr>
      </w:pPr>
    </w:p>
    <w:p w14:paraId="79FE1083" w14:textId="77777777" w:rsidR="005A3ED8" w:rsidRDefault="005A3ED8" w:rsidP="005A3ED8">
      <w:pPr>
        <w:rPr>
          <w:rFonts w:ascii="Times New Roman" w:eastAsia="Calibri" w:hAnsi="Times New Roman" w:cs="Times New Roman"/>
          <w:bCs/>
          <w:sz w:val="24"/>
          <w:szCs w:val="24"/>
        </w:rPr>
      </w:pPr>
    </w:p>
    <w:p w14:paraId="059A45F5" w14:textId="76537009" w:rsidR="005A3ED8" w:rsidRDefault="005A3ED8" w:rsidP="005A3ED8">
      <w:bookmarkStart w:id="17" w:name="_GoBack"/>
      <w:bookmarkEnd w:id="17"/>
      <w:r w:rsidRPr="00CB26F8">
        <w:rPr>
          <w:rFonts w:ascii="Times New Roman" w:eastAsia="Calibri" w:hAnsi="Times New Roman" w:cs="Times New Roman"/>
          <w:bCs/>
          <w:sz w:val="24"/>
          <w:szCs w:val="24"/>
        </w:rPr>
        <w:t>Jelen tananyag a Szegedi Tudományegyetemen készült az Európai Unió támogatásával. Projekt azonosító: EFOP-3.4.3-16-2016-00014</w:t>
      </w:r>
    </w:p>
    <w:p w14:paraId="0DCADAE2" w14:textId="77777777" w:rsidR="005A3ED8" w:rsidRPr="00316F89" w:rsidRDefault="005A3ED8" w:rsidP="008F2788">
      <w:pPr>
        <w:rPr>
          <w:rFonts w:ascii="Times New Roman" w:eastAsia="Calibri" w:hAnsi="Times New Roman" w:cs="Times New Roman"/>
          <w:bCs/>
          <w:sz w:val="24"/>
          <w:szCs w:val="24"/>
        </w:rPr>
      </w:pPr>
    </w:p>
    <w:p w14:paraId="2E262A9D" w14:textId="77777777" w:rsidR="008F2788" w:rsidRDefault="008F2788" w:rsidP="008F2788">
      <w:pPr>
        <w:jc w:val="right"/>
        <w:rPr>
          <w:rFonts w:ascii="Times New Roman" w:eastAsia="Calibri" w:hAnsi="Times New Roman" w:cs="Times New Roman"/>
          <w:bCs/>
          <w:sz w:val="24"/>
          <w:szCs w:val="24"/>
        </w:rPr>
      </w:pPr>
      <w:r>
        <w:rPr>
          <w:rFonts w:ascii="Times New Roman" w:eastAsia="Calibri" w:hAnsi="Times New Roman" w:cs="Times New Roman"/>
          <w:bCs/>
          <w:noProof/>
          <w:sz w:val="24"/>
          <w:szCs w:val="24"/>
          <w:lang w:eastAsia="hu-HU"/>
        </w:rPr>
        <w:drawing>
          <wp:inline distT="0" distB="0" distL="0" distR="0" wp14:anchorId="5DE277C2" wp14:editId="541926CA">
            <wp:extent cx="4029710" cy="2786380"/>
            <wp:effectExtent l="0" t="0" r="8890" b="0"/>
            <wp:docPr id="15" name="Kép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29710" cy="2786380"/>
                    </a:xfrm>
                    <a:prstGeom prst="rect">
                      <a:avLst/>
                    </a:prstGeom>
                    <a:noFill/>
                  </pic:spPr>
                </pic:pic>
              </a:graphicData>
            </a:graphic>
          </wp:inline>
        </w:drawing>
      </w:r>
    </w:p>
    <w:sectPr w:rsidR="008F2788">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34E03B" w14:textId="77777777" w:rsidR="005D56A1" w:rsidRDefault="005D56A1" w:rsidP="00D769A4">
      <w:r>
        <w:separator/>
      </w:r>
    </w:p>
  </w:endnote>
  <w:endnote w:type="continuationSeparator" w:id="0">
    <w:p w14:paraId="16222516" w14:textId="77777777" w:rsidR="005D56A1" w:rsidRDefault="005D56A1" w:rsidP="00D76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1558813654"/>
      <w:docPartObj>
        <w:docPartGallery w:val="Page Numbers (Bottom of Page)"/>
        <w:docPartUnique/>
      </w:docPartObj>
    </w:sdtPr>
    <w:sdtEndPr/>
    <w:sdtContent>
      <w:p w14:paraId="71A796E0" w14:textId="181ED237" w:rsidR="004272AF" w:rsidRPr="004272AF" w:rsidRDefault="004272AF" w:rsidP="004272AF">
        <w:pPr>
          <w:pStyle w:val="llb"/>
          <w:jc w:val="center"/>
          <w:rPr>
            <w:rFonts w:ascii="Times New Roman" w:hAnsi="Times New Roman" w:cs="Times New Roman"/>
            <w:sz w:val="24"/>
            <w:szCs w:val="24"/>
          </w:rPr>
        </w:pPr>
        <w:r w:rsidRPr="004272AF">
          <w:rPr>
            <w:rFonts w:ascii="Times New Roman" w:hAnsi="Times New Roman" w:cs="Times New Roman"/>
            <w:sz w:val="24"/>
            <w:szCs w:val="24"/>
          </w:rPr>
          <w:fldChar w:fldCharType="begin"/>
        </w:r>
        <w:r w:rsidRPr="004272AF">
          <w:rPr>
            <w:rFonts w:ascii="Times New Roman" w:hAnsi="Times New Roman" w:cs="Times New Roman"/>
            <w:sz w:val="24"/>
            <w:szCs w:val="24"/>
          </w:rPr>
          <w:instrText>PAGE   \* MERGEFORMAT</w:instrText>
        </w:r>
        <w:r w:rsidRPr="004272AF">
          <w:rPr>
            <w:rFonts w:ascii="Times New Roman" w:hAnsi="Times New Roman" w:cs="Times New Roman"/>
            <w:sz w:val="24"/>
            <w:szCs w:val="24"/>
          </w:rPr>
          <w:fldChar w:fldCharType="separate"/>
        </w:r>
        <w:r w:rsidR="005A3ED8">
          <w:rPr>
            <w:rFonts w:ascii="Times New Roman" w:hAnsi="Times New Roman" w:cs="Times New Roman"/>
            <w:noProof/>
            <w:sz w:val="24"/>
            <w:szCs w:val="24"/>
          </w:rPr>
          <w:t>4</w:t>
        </w:r>
        <w:r w:rsidRPr="004272AF">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D7BD18" w14:textId="77777777" w:rsidR="005D56A1" w:rsidRDefault="005D56A1" w:rsidP="00D769A4">
      <w:r>
        <w:separator/>
      </w:r>
    </w:p>
  </w:footnote>
  <w:footnote w:type="continuationSeparator" w:id="0">
    <w:p w14:paraId="291C4CD0" w14:textId="77777777" w:rsidR="005D56A1" w:rsidRDefault="005D56A1" w:rsidP="00D769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493DA" w14:textId="60C8FBF5" w:rsidR="00D769A4" w:rsidRPr="00D769A4" w:rsidRDefault="00D769A4">
    <w:pPr>
      <w:pStyle w:val="lfej"/>
      <w:rPr>
        <w:rFonts w:ascii="Times New Roman" w:hAnsi="Times New Roman" w:cs="Times New Roman"/>
        <w:sz w:val="24"/>
        <w:szCs w:val="24"/>
      </w:rPr>
    </w:pPr>
    <w:r w:rsidRPr="00C667E1">
      <w:rPr>
        <w:rFonts w:ascii="Times New Roman" w:hAnsi="Times New Roman" w:cs="Times New Roman"/>
        <w:sz w:val="24"/>
        <w:szCs w:val="24"/>
      </w:rPr>
      <w:t xml:space="preserve">Nemzetközi pénzügyek </w:t>
    </w:r>
    <w:r w:rsidR="005918AD">
      <w:rPr>
        <w:rFonts w:ascii="Times New Roman" w:hAnsi="Times New Roman" w:cs="Times New Roman"/>
        <w:sz w:val="24"/>
        <w:szCs w:val="24"/>
      </w:rPr>
      <w:t>–</w:t>
    </w:r>
    <w:r w:rsidRPr="00C667E1">
      <w:rPr>
        <w:rFonts w:ascii="Times New Roman" w:hAnsi="Times New Roman" w:cs="Times New Roman"/>
        <w:sz w:val="24"/>
        <w:szCs w:val="24"/>
      </w:rPr>
      <w:t xml:space="preserve"> olvasólecke</w:t>
    </w:r>
    <w:r w:rsidR="005918AD">
      <w:rPr>
        <w:rFonts w:ascii="Times New Roman" w:hAnsi="Times New Roman" w:cs="Times New Roman"/>
        <w:sz w:val="24"/>
        <w:szCs w:val="24"/>
      </w:rPr>
      <w:t xml:space="preserve"> 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2404A"/>
    <w:multiLevelType w:val="hybridMultilevel"/>
    <w:tmpl w:val="288CEA2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139F7B4C"/>
    <w:multiLevelType w:val="hybridMultilevel"/>
    <w:tmpl w:val="DFE4C240"/>
    <w:lvl w:ilvl="0" w:tplc="040E0011">
      <w:start w:val="1"/>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26C17C62"/>
    <w:multiLevelType w:val="hybridMultilevel"/>
    <w:tmpl w:val="3182AFE0"/>
    <w:lvl w:ilvl="0" w:tplc="9C98EA80">
      <w:start w:val="1"/>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2EFE7947"/>
    <w:multiLevelType w:val="hybridMultilevel"/>
    <w:tmpl w:val="E64C8E3A"/>
    <w:lvl w:ilvl="0" w:tplc="040E0001">
      <w:start w:val="1"/>
      <w:numFmt w:val="bullet"/>
      <w:lvlText w:val=""/>
      <w:lvlJc w:val="left"/>
      <w:pPr>
        <w:ind w:left="1320" w:hanging="360"/>
      </w:pPr>
      <w:rPr>
        <w:rFonts w:ascii="Symbol" w:hAnsi="Symbol" w:hint="default"/>
      </w:rPr>
    </w:lvl>
    <w:lvl w:ilvl="1" w:tplc="040E0003" w:tentative="1">
      <w:start w:val="1"/>
      <w:numFmt w:val="bullet"/>
      <w:lvlText w:val="o"/>
      <w:lvlJc w:val="left"/>
      <w:pPr>
        <w:ind w:left="2040" w:hanging="360"/>
      </w:pPr>
      <w:rPr>
        <w:rFonts w:ascii="Courier New" w:hAnsi="Courier New" w:cs="Courier New" w:hint="default"/>
      </w:rPr>
    </w:lvl>
    <w:lvl w:ilvl="2" w:tplc="040E0005" w:tentative="1">
      <w:start w:val="1"/>
      <w:numFmt w:val="bullet"/>
      <w:lvlText w:val=""/>
      <w:lvlJc w:val="left"/>
      <w:pPr>
        <w:ind w:left="2760" w:hanging="360"/>
      </w:pPr>
      <w:rPr>
        <w:rFonts w:ascii="Wingdings" w:hAnsi="Wingdings" w:hint="default"/>
      </w:rPr>
    </w:lvl>
    <w:lvl w:ilvl="3" w:tplc="040E0001" w:tentative="1">
      <w:start w:val="1"/>
      <w:numFmt w:val="bullet"/>
      <w:lvlText w:val=""/>
      <w:lvlJc w:val="left"/>
      <w:pPr>
        <w:ind w:left="3480" w:hanging="360"/>
      </w:pPr>
      <w:rPr>
        <w:rFonts w:ascii="Symbol" w:hAnsi="Symbol" w:hint="default"/>
      </w:rPr>
    </w:lvl>
    <w:lvl w:ilvl="4" w:tplc="040E0003" w:tentative="1">
      <w:start w:val="1"/>
      <w:numFmt w:val="bullet"/>
      <w:lvlText w:val="o"/>
      <w:lvlJc w:val="left"/>
      <w:pPr>
        <w:ind w:left="4200" w:hanging="360"/>
      </w:pPr>
      <w:rPr>
        <w:rFonts w:ascii="Courier New" w:hAnsi="Courier New" w:cs="Courier New" w:hint="default"/>
      </w:rPr>
    </w:lvl>
    <w:lvl w:ilvl="5" w:tplc="040E0005" w:tentative="1">
      <w:start w:val="1"/>
      <w:numFmt w:val="bullet"/>
      <w:lvlText w:val=""/>
      <w:lvlJc w:val="left"/>
      <w:pPr>
        <w:ind w:left="4920" w:hanging="360"/>
      </w:pPr>
      <w:rPr>
        <w:rFonts w:ascii="Wingdings" w:hAnsi="Wingdings" w:hint="default"/>
      </w:rPr>
    </w:lvl>
    <w:lvl w:ilvl="6" w:tplc="040E0001" w:tentative="1">
      <w:start w:val="1"/>
      <w:numFmt w:val="bullet"/>
      <w:lvlText w:val=""/>
      <w:lvlJc w:val="left"/>
      <w:pPr>
        <w:ind w:left="5640" w:hanging="360"/>
      </w:pPr>
      <w:rPr>
        <w:rFonts w:ascii="Symbol" w:hAnsi="Symbol" w:hint="default"/>
      </w:rPr>
    </w:lvl>
    <w:lvl w:ilvl="7" w:tplc="040E0003" w:tentative="1">
      <w:start w:val="1"/>
      <w:numFmt w:val="bullet"/>
      <w:lvlText w:val="o"/>
      <w:lvlJc w:val="left"/>
      <w:pPr>
        <w:ind w:left="6360" w:hanging="360"/>
      </w:pPr>
      <w:rPr>
        <w:rFonts w:ascii="Courier New" w:hAnsi="Courier New" w:cs="Courier New" w:hint="default"/>
      </w:rPr>
    </w:lvl>
    <w:lvl w:ilvl="8" w:tplc="040E0005" w:tentative="1">
      <w:start w:val="1"/>
      <w:numFmt w:val="bullet"/>
      <w:lvlText w:val=""/>
      <w:lvlJc w:val="left"/>
      <w:pPr>
        <w:ind w:left="7080" w:hanging="360"/>
      </w:pPr>
      <w:rPr>
        <w:rFonts w:ascii="Wingdings" w:hAnsi="Wingdings" w:hint="default"/>
      </w:rPr>
    </w:lvl>
  </w:abstractNum>
  <w:abstractNum w:abstractNumId="4" w15:restartNumberingAfterBreak="0">
    <w:nsid w:val="2FD7145B"/>
    <w:multiLevelType w:val="hybridMultilevel"/>
    <w:tmpl w:val="56243330"/>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5" w15:restartNumberingAfterBreak="0">
    <w:nsid w:val="30CD59BC"/>
    <w:multiLevelType w:val="hybridMultilevel"/>
    <w:tmpl w:val="1CD698B6"/>
    <w:lvl w:ilvl="0" w:tplc="F278AACE">
      <w:start w:val="1"/>
      <w:numFmt w:val="lowerLetter"/>
      <w:pStyle w:val="Cmsor3"/>
      <w:lvlText w:val="%1)"/>
      <w:lvlJc w:val="left"/>
      <w:pPr>
        <w:ind w:left="1428" w:hanging="360"/>
      </w:pPr>
    </w:lvl>
    <w:lvl w:ilvl="1" w:tplc="3EF25796">
      <w:start w:val="7"/>
      <w:numFmt w:val="bullet"/>
      <w:lvlText w:val=""/>
      <w:lvlJc w:val="left"/>
      <w:pPr>
        <w:ind w:left="2148" w:hanging="360"/>
      </w:pPr>
      <w:rPr>
        <w:rFonts w:ascii="Wingdings" w:eastAsiaTheme="minorHAnsi" w:hAnsi="Wingdings" w:cstheme="minorBidi" w:hint="default"/>
      </w:rPr>
    </w:lvl>
    <w:lvl w:ilvl="2" w:tplc="040E001B" w:tentative="1">
      <w:start w:val="1"/>
      <w:numFmt w:val="lowerRoman"/>
      <w:lvlText w:val="%3."/>
      <w:lvlJc w:val="right"/>
      <w:pPr>
        <w:ind w:left="2868" w:hanging="180"/>
      </w:pPr>
    </w:lvl>
    <w:lvl w:ilvl="3" w:tplc="040E000F" w:tentative="1">
      <w:start w:val="1"/>
      <w:numFmt w:val="decimal"/>
      <w:lvlText w:val="%4."/>
      <w:lvlJc w:val="left"/>
      <w:pPr>
        <w:ind w:left="3588" w:hanging="360"/>
      </w:pPr>
    </w:lvl>
    <w:lvl w:ilvl="4" w:tplc="040E0019" w:tentative="1">
      <w:start w:val="1"/>
      <w:numFmt w:val="lowerLetter"/>
      <w:lvlText w:val="%5."/>
      <w:lvlJc w:val="left"/>
      <w:pPr>
        <w:ind w:left="4308" w:hanging="360"/>
      </w:pPr>
    </w:lvl>
    <w:lvl w:ilvl="5" w:tplc="040E001B" w:tentative="1">
      <w:start w:val="1"/>
      <w:numFmt w:val="lowerRoman"/>
      <w:lvlText w:val="%6."/>
      <w:lvlJc w:val="right"/>
      <w:pPr>
        <w:ind w:left="5028" w:hanging="180"/>
      </w:pPr>
    </w:lvl>
    <w:lvl w:ilvl="6" w:tplc="040E000F" w:tentative="1">
      <w:start w:val="1"/>
      <w:numFmt w:val="decimal"/>
      <w:lvlText w:val="%7."/>
      <w:lvlJc w:val="left"/>
      <w:pPr>
        <w:ind w:left="5748" w:hanging="360"/>
      </w:pPr>
    </w:lvl>
    <w:lvl w:ilvl="7" w:tplc="040E0019" w:tentative="1">
      <w:start w:val="1"/>
      <w:numFmt w:val="lowerLetter"/>
      <w:lvlText w:val="%8."/>
      <w:lvlJc w:val="left"/>
      <w:pPr>
        <w:ind w:left="6468" w:hanging="360"/>
      </w:pPr>
    </w:lvl>
    <w:lvl w:ilvl="8" w:tplc="040E001B" w:tentative="1">
      <w:start w:val="1"/>
      <w:numFmt w:val="lowerRoman"/>
      <w:lvlText w:val="%9."/>
      <w:lvlJc w:val="right"/>
      <w:pPr>
        <w:ind w:left="7188" w:hanging="180"/>
      </w:pPr>
    </w:lvl>
  </w:abstractNum>
  <w:abstractNum w:abstractNumId="6" w15:restartNumberingAfterBreak="0">
    <w:nsid w:val="31EA126B"/>
    <w:multiLevelType w:val="hybridMultilevel"/>
    <w:tmpl w:val="F424CAAE"/>
    <w:lvl w:ilvl="0" w:tplc="7F1005A2">
      <w:start w:val="1"/>
      <w:numFmt w:val="decimal"/>
      <w:pStyle w:val="Cmsor2"/>
      <w:lvlText w:val="%1."/>
      <w:lvlJc w:val="left"/>
      <w:pPr>
        <w:ind w:left="1428" w:hanging="360"/>
      </w:pPr>
    </w:lvl>
    <w:lvl w:ilvl="1" w:tplc="0A525030">
      <w:start w:val="1"/>
      <w:numFmt w:val="lowerRoman"/>
      <w:lvlText w:val="%2)"/>
      <w:lvlJc w:val="left"/>
      <w:pPr>
        <w:ind w:left="2508" w:hanging="720"/>
      </w:pPr>
      <w:rPr>
        <w:rFonts w:hint="default"/>
      </w:rPr>
    </w:lvl>
    <w:lvl w:ilvl="2" w:tplc="040E001B" w:tentative="1">
      <w:start w:val="1"/>
      <w:numFmt w:val="lowerRoman"/>
      <w:lvlText w:val="%3."/>
      <w:lvlJc w:val="right"/>
      <w:pPr>
        <w:ind w:left="2868" w:hanging="180"/>
      </w:pPr>
    </w:lvl>
    <w:lvl w:ilvl="3" w:tplc="040E000F" w:tentative="1">
      <w:start w:val="1"/>
      <w:numFmt w:val="decimal"/>
      <w:lvlText w:val="%4."/>
      <w:lvlJc w:val="left"/>
      <w:pPr>
        <w:ind w:left="3588" w:hanging="360"/>
      </w:pPr>
    </w:lvl>
    <w:lvl w:ilvl="4" w:tplc="040E0019" w:tentative="1">
      <w:start w:val="1"/>
      <w:numFmt w:val="lowerLetter"/>
      <w:lvlText w:val="%5."/>
      <w:lvlJc w:val="left"/>
      <w:pPr>
        <w:ind w:left="4308" w:hanging="360"/>
      </w:pPr>
    </w:lvl>
    <w:lvl w:ilvl="5" w:tplc="040E001B" w:tentative="1">
      <w:start w:val="1"/>
      <w:numFmt w:val="lowerRoman"/>
      <w:lvlText w:val="%6."/>
      <w:lvlJc w:val="right"/>
      <w:pPr>
        <w:ind w:left="5028" w:hanging="180"/>
      </w:pPr>
    </w:lvl>
    <w:lvl w:ilvl="6" w:tplc="040E000F" w:tentative="1">
      <w:start w:val="1"/>
      <w:numFmt w:val="decimal"/>
      <w:lvlText w:val="%7."/>
      <w:lvlJc w:val="left"/>
      <w:pPr>
        <w:ind w:left="5748" w:hanging="360"/>
      </w:pPr>
    </w:lvl>
    <w:lvl w:ilvl="7" w:tplc="040E0019" w:tentative="1">
      <w:start w:val="1"/>
      <w:numFmt w:val="lowerLetter"/>
      <w:lvlText w:val="%8."/>
      <w:lvlJc w:val="left"/>
      <w:pPr>
        <w:ind w:left="6468" w:hanging="360"/>
      </w:pPr>
    </w:lvl>
    <w:lvl w:ilvl="8" w:tplc="040E001B" w:tentative="1">
      <w:start w:val="1"/>
      <w:numFmt w:val="lowerRoman"/>
      <w:lvlText w:val="%9."/>
      <w:lvlJc w:val="right"/>
      <w:pPr>
        <w:ind w:left="7188" w:hanging="180"/>
      </w:pPr>
    </w:lvl>
  </w:abstractNum>
  <w:abstractNum w:abstractNumId="7" w15:restartNumberingAfterBreak="0">
    <w:nsid w:val="46920BBD"/>
    <w:multiLevelType w:val="hybridMultilevel"/>
    <w:tmpl w:val="25E4F21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4712372A"/>
    <w:multiLevelType w:val="hybridMultilevel"/>
    <w:tmpl w:val="6A6AD45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57F102B4"/>
    <w:multiLevelType w:val="hybridMultilevel"/>
    <w:tmpl w:val="E0CA356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2"/>
  </w:num>
  <w:num w:numId="5">
    <w:abstractNumId w:val="4"/>
  </w:num>
  <w:num w:numId="6">
    <w:abstractNumId w:val="1"/>
  </w:num>
  <w:num w:numId="7">
    <w:abstractNumId w:val="8"/>
  </w:num>
  <w:num w:numId="8">
    <w:abstractNumId w:val="0"/>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E6A"/>
    <w:rsid w:val="00106F2D"/>
    <w:rsid w:val="001203DE"/>
    <w:rsid w:val="001B3A32"/>
    <w:rsid w:val="001D7929"/>
    <w:rsid w:val="002A281A"/>
    <w:rsid w:val="003502ED"/>
    <w:rsid w:val="003D08F7"/>
    <w:rsid w:val="004272AF"/>
    <w:rsid w:val="00495E6A"/>
    <w:rsid w:val="004D765C"/>
    <w:rsid w:val="005918AD"/>
    <w:rsid w:val="005A3ED8"/>
    <w:rsid w:val="005D56A1"/>
    <w:rsid w:val="005F4DDE"/>
    <w:rsid w:val="00752349"/>
    <w:rsid w:val="00774EB0"/>
    <w:rsid w:val="007A2CB3"/>
    <w:rsid w:val="007D591B"/>
    <w:rsid w:val="00860CCC"/>
    <w:rsid w:val="008F2788"/>
    <w:rsid w:val="009746EB"/>
    <w:rsid w:val="00A0171F"/>
    <w:rsid w:val="00A64EF8"/>
    <w:rsid w:val="00AE69DE"/>
    <w:rsid w:val="00BD3D13"/>
    <w:rsid w:val="00D769A4"/>
    <w:rsid w:val="00DF0CE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438EB"/>
  <w15:chartTrackingRefBased/>
  <w15:docId w15:val="{7E82EA7F-030C-4D2F-AB99-F360F5F2A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95E6A"/>
    <w:pPr>
      <w:spacing w:after="0" w:line="240" w:lineRule="auto"/>
      <w:jc w:val="both"/>
    </w:pPr>
  </w:style>
  <w:style w:type="paragraph" w:styleId="Cmsor2">
    <w:name w:val="heading 2"/>
    <w:basedOn w:val="Norml"/>
    <w:next w:val="Norml"/>
    <w:link w:val="Cmsor2Char"/>
    <w:uiPriority w:val="9"/>
    <w:unhideWhenUsed/>
    <w:qFormat/>
    <w:rsid w:val="00495E6A"/>
    <w:pPr>
      <w:keepNext/>
      <w:keepLines/>
      <w:numPr>
        <w:numId w:val="1"/>
      </w:numPr>
      <w:spacing w:before="200"/>
      <w:jc w:val="left"/>
      <w:outlineLvl w:val="1"/>
    </w:pPr>
    <w:rPr>
      <w:rFonts w:asciiTheme="majorHAnsi" w:eastAsiaTheme="majorEastAsia" w:hAnsiTheme="majorHAnsi" w:cstheme="majorBidi"/>
      <w:b/>
      <w:bCs/>
      <w:sz w:val="24"/>
      <w:szCs w:val="26"/>
    </w:rPr>
  </w:style>
  <w:style w:type="paragraph" w:styleId="Cmsor3">
    <w:name w:val="heading 3"/>
    <w:basedOn w:val="Norml"/>
    <w:next w:val="Norml"/>
    <w:link w:val="Cmsor3Char"/>
    <w:autoRedefine/>
    <w:uiPriority w:val="9"/>
    <w:unhideWhenUsed/>
    <w:qFormat/>
    <w:rsid w:val="00495E6A"/>
    <w:pPr>
      <w:keepNext/>
      <w:keepLines/>
      <w:numPr>
        <w:numId w:val="2"/>
      </w:numPr>
      <w:spacing w:before="40" w:line="360" w:lineRule="auto"/>
      <w:outlineLvl w:val="2"/>
    </w:pPr>
    <w:rPr>
      <w:rFonts w:asciiTheme="majorHAnsi" w:eastAsiaTheme="majorEastAsia" w:hAnsiTheme="majorHAnsi" w:cstheme="majorBidi"/>
      <w:bCs/>
      <w:i/>
      <w:u w:val="singl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495E6A"/>
    <w:rPr>
      <w:rFonts w:asciiTheme="majorHAnsi" w:eastAsiaTheme="majorEastAsia" w:hAnsiTheme="majorHAnsi" w:cstheme="majorBidi"/>
      <w:b/>
      <w:bCs/>
      <w:sz w:val="24"/>
      <w:szCs w:val="26"/>
    </w:rPr>
  </w:style>
  <w:style w:type="character" w:customStyle="1" w:styleId="Cmsor3Char">
    <w:name w:val="Címsor 3 Char"/>
    <w:basedOn w:val="Bekezdsalapbettpusa"/>
    <w:link w:val="Cmsor3"/>
    <w:uiPriority w:val="9"/>
    <w:rsid w:val="00495E6A"/>
    <w:rPr>
      <w:rFonts w:asciiTheme="majorHAnsi" w:eastAsiaTheme="majorEastAsia" w:hAnsiTheme="majorHAnsi" w:cstheme="majorBidi"/>
      <w:bCs/>
      <w:i/>
      <w:u w:val="single"/>
    </w:rPr>
  </w:style>
  <w:style w:type="paragraph" w:styleId="Listaszerbekezds">
    <w:name w:val="List Paragraph"/>
    <w:basedOn w:val="Norml"/>
    <w:uiPriority w:val="34"/>
    <w:qFormat/>
    <w:rsid w:val="00495E6A"/>
    <w:pPr>
      <w:ind w:left="720"/>
      <w:contextualSpacing/>
    </w:pPr>
  </w:style>
  <w:style w:type="paragraph" w:styleId="lfej">
    <w:name w:val="header"/>
    <w:basedOn w:val="Norml"/>
    <w:link w:val="lfejChar"/>
    <w:uiPriority w:val="99"/>
    <w:unhideWhenUsed/>
    <w:rsid w:val="00D769A4"/>
    <w:pPr>
      <w:tabs>
        <w:tab w:val="center" w:pos="4536"/>
        <w:tab w:val="right" w:pos="9072"/>
      </w:tabs>
    </w:pPr>
  </w:style>
  <w:style w:type="character" w:customStyle="1" w:styleId="lfejChar">
    <w:name w:val="Élőfej Char"/>
    <w:basedOn w:val="Bekezdsalapbettpusa"/>
    <w:link w:val="lfej"/>
    <w:uiPriority w:val="99"/>
    <w:rsid w:val="00D769A4"/>
  </w:style>
  <w:style w:type="paragraph" w:styleId="llb">
    <w:name w:val="footer"/>
    <w:basedOn w:val="Norml"/>
    <w:link w:val="llbChar"/>
    <w:uiPriority w:val="99"/>
    <w:unhideWhenUsed/>
    <w:rsid w:val="00D769A4"/>
    <w:pPr>
      <w:tabs>
        <w:tab w:val="center" w:pos="4536"/>
        <w:tab w:val="right" w:pos="9072"/>
      </w:tabs>
    </w:pPr>
  </w:style>
  <w:style w:type="character" w:customStyle="1" w:styleId="llbChar">
    <w:name w:val="Élőláb Char"/>
    <w:basedOn w:val="Bekezdsalapbettpusa"/>
    <w:link w:val="llb"/>
    <w:uiPriority w:val="99"/>
    <w:rsid w:val="00D769A4"/>
  </w:style>
  <w:style w:type="table" w:styleId="Rcsostblzat">
    <w:name w:val="Table Grid"/>
    <w:basedOn w:val="Normltblzat"/>
    <w:uiPriority w:val="39"/>
    <w:rsid w:val="004272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basedOn w:val="Bekezdsalapbettpusa"/>
    <w:uiPriority w:val="99"/>
    <w:unhideWhenUsed/>
    <w:rsid w:val="00A64EF8"/>
    <w:rPr>
      <w:color w:val="0563C1" w:themeColor="hyperlink"/>
      <w:u w:val="single"/>
    </w:rPr>
  </w:style>
  <w:style w:type="character" w:customStyle="1" w:styleId="UnresolvedMention">
    <w:name w:val="Unresolved Mention"/>
    <w:basedOn w:val="Bekezdsalapbettpusa"/>
    <w:uiPriority w:val="99"/>
    <w:semiHidden/>
    <w:unhideWhenUsed/>
    <w:rsid w:val="00A64E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en.wikipedia.org/wiki/File:Eurozone_Internal.sv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1.xml"/><Relationship Id="rId10" Type="http://schemas.microsoft.com/office/2007/relationships/hdphoto" Target="media/hdphoto1.wdp"/><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1243</TotalTime>
  <Pages>4</Pages>
  <Words>980</Words>
  <Characters>6767</Characters>
  <Application>Microsoft Office Word</Application>
  <DocSecurity>0</DocSecurity>
  <Lines>56</Lines>
  <Paragraphs>15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Máté Andor</dc:creator>
  <cp:keywords/>
  <dc:description/>
  <cp:lastModifiedBy>Kiss Gabor David</cp:lastModifiedBy>
  <cp:revision>17</cp:revision>
  <cp:lastPrinted>2020-06-25T13:55:00Z</cp:lastPrinted>
  <dcterms:created xsi:type="dcterms:W3CDTF">2020-06-25T13:51:00Z</dcterms:created>
  <dcterms:modified xsi:type="dcterms:W3CDTF">2021-02-23T11:58:00Z</dcterms:modified>
</cp:coreProperties>
</file>