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F75" w:rsidTr="00364FEE">
        <w:tc>
          <w:tcPr>
            <w:tcW w:w="3020" w:type="dxa"/>
            <w:shd w:val="clear" w:color="auto" w:fill="EAF1DD" w:themeFill="accent3" w:themeFillTint="33"/>
          </w:tcPr>
          <w:p w:rsidR="00124F75" w:rsidRDefault="00124F75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2687BE26" wp14:editId="409686EE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4F75" w:rsidRPr="00837EA1" w:rsidRDefault="00124F75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124F75" w:rsidRDefault="00124F75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9C32B1B" wp14:editId="7F59920E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F75" w:rsidRDefault="00124F75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124F75" w:rsidRPr="007606EE" w:rsidRDefault="00124F75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9925B5" w:rsidRDefault="009925B5" w:rsidP="00364FEE">
            <w:pPr>
              <w:tabs>
                <w:tab w:val="right" w:pos="8460"/>
              </w:tabs>
              <w:spacing w:before="360" w:after="120"/>
              <w:jc w:val="center"/>
            </w:pPr>
            <w:r>
              <w:t>„</w:t>
            </w:r>
            <w:r w:rsidRPr="009925B5">
              <w:t>Mindig egy lusta embert választok ki egy nehéz munkára. Mert ő talál egy könnyű utat az elvégzésére.</w:t>
            </w:r>
            <w:r>
              <w:t>”</w:t>
            </w:r>
            <w:r w:rsidRPr="009925B5">
              <w:t xml:space="preserve">  </w:t>
            </w:r>
          </w:p>
          <w:p w:rsidR="00124F75" w:rsidRPr="00437A0A" w:rsidRDefault="009925B5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9925B5">
              <w:t xml:space="preserve">Bill </w:t>
            </w:r>
            <w:proofErr w:type="spellStart"/>
            <w:r w:rsidRPr="009925B5">
              <w:t>Gates</w:t>
            </w:r>
            <w:proofErr w:type="spellEnd"/>
            <w:r>
              <w:t>)</w:t>
            </w:r>
          </w:p>
        </w:tc>
      </w:tr>
    </w:tbl>
    <w:p w:rsidR="00124F75" w:rsidRDefault="00124F75" w:rsidP="00124F75">
      <w:pPr>
        <w:rPr>
          <w:i/>
          <w:sz w:val="24"/>
          <w:szCs w:val="24"/>
        </w:rPr>
      </w:pPr>
    </w:p>
    <w:p w:rsidR="00124F75" w:rsidRPr="003F7597" w:rsidRDefault="00124F75" w:rsidP="00124F75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124F75" w:rsidRPr="003F7597" w:rsidRDefault="00124F75" w:rsidP="00124F75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Pr="003F7597">
        <w:rPr>
          <w:rFonts w:cstheme="minorHAnsi"/>
          <w:b/>
        </w:rPr>
        <w:t xml:space="preserve"> fejezet </w:t>
      </w:r>
      <w:r w:rsidR="00411E97">
        <w:rPr>
          <w:rFonts w:cstheme="minorHAnsi"/>
          <w:b/>
        </w:rPr>
        <w:t>2</w:t>
      </w:r>
      <w:r>
        <w:rPr>
          <w:rFonts w:cstheme="minorHAnsi"/>
          <w:b/>
        </w:rPr>
        <w:t xml:space="preserve"> </w:t>
      </w:r>
      <w:r w:rsidRPr="003F7597">
        <w:rPr>
          <w:rFonts w:cstheme="minorHAnsi"/>
          <w:b/>
        </w:rPr>
        <w:t>olvasólecke</w:t>
      </w:r>
    </w:p>
    <w:p w:rsidR="00124F75" w:rsidRDefault="00124F75" w:rsidP="00124F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CA9" w:rsidRPr="00124F75" w:rsidRDefault="00124F75" w:rsidP="00124F75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24F75">
        <w:rPr>
          <w:rFonts w:ascii="Times New Roman" w:hAnsi="Times New Roman" w:cs="Times New Roman"/>
          <w:b/>
          <w:sz w:val="36"/>
          <w:szCs w:val="24"/>
        </w:rPr>
        <w:t>K</w:t>
      </w:r>
      <w:r w:rsidR="00000CA9" w:rsidRPr="00124F75">
        <w:rPr>
          <w:rFonts w:ascii="Times New Roman" w:hAnsi="Times New Roman" w:cs="Times New Roman"/>
          <w:b/>
          <w:sz w:val="36"/>
          <w:szCs w:val="24"/>
        </w:rPr>
        <w:t>ötelező nyilvánosság</w:t>
      </w:r>
    </w:p>
    <w:p w:rsidR="00F969DB" w:rsidRPr="00F969DB" w:rsidRDefault="00F969DB" w:rsidP="00124F75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969DB">
        <w:rPr>
          <w:rFonts w:ascii="Times New Roman" w:eastAsia="Times New Roman" w:hAnsi="Times New Roman" w:cs="Times New Roman"/>
          <w:sz w:val="24"/>
          <w:lang w:eastAsia="hu-HU"/>
        </w:rPr>
        <w:t>A leckében tárgyalásra kerül a kötelező nyilvánosság biztosítása, az arculati kézikönyvben szereplő elvárások, lehetséges kommunikációs tevékenységek.</w:t>
      </w:r>
    </w:p>
    <w:p w:rsidR="00F30EE1" w:rsidRDefault="00111CB6" w:rsidP="00124F75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A donorok, de különösen </w:t>
      </w:r>
      <w:r w:rsidRPr="003D0264">
        <w:rPr>
          <w:rFonts w:ascii="Times New Roman" w:eastAsia="Times New Roman" w:hAnsi="Times New Roman" w:cs="Times New Roman"/>
          <w:b/>
          <w:sz w:val="24"/>
          <w:lang w:eastAsia="hu-HU"/>
        </w:rPr>
        <w:t>az Európai Unió teljesen jogosan megkövetelik, hogy a megvalósult fejlesztések esetén megjelenítésre kerüljön különböző formákban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a támogató is. Mindannyian találkoztunk már különféle táblákkal, arculati elemekkel ellátott cikkekkel. Jelen leckében ezen a területen próbálunk rendet tenni.</w:t>
      </w:r>
    </w:p>
    <w:p w:rsidR="00111CB6" w:rsidRDefault="00CD3D3F" w:rsidP="00124F75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5351145</wp:posOffset>
            </wp:positionV>
            <wp:extent cx="1371600" cy="1371600"/>
            <wp:effectExtent l="0" t="0" r="0" b="0"/>
            <wp:wrapSquare wrapText="bothSides"/>
            <wp:docPr id="2" name="Kép 2" descr="Képtalálat a következőre: „széchenyi 202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échenyi 2020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CB6">
        <w:rPr>
          <w:rFonts w:ascii="Times New Roman" w:eastAsia="Times New Roman" w:hAnsi="Times New Roman" w:cs="Times New Roman"/>
          <w:sz w:val="24"/>
          <w:lang w:eastAsia="hu-HU"/>
        </w:rPr>
        <w:t xml:space="preserve">Alapjaiban véve két kötelező kommunikációs logikát lehet követni, a hazai gyakorlatban mindkettő alkalmazásra került. Az egyik lehetséges variáció </w:t>
      </w:r>
      <w:r w:rsidR="00111CB6" w:rsidRPr="003D0264">
        <w:rPr>
          <w:rFonts w:ascii="Times New Roman" w:eastAsia="Times New Roman" w:hAnsi="Times New Roman" w:cs="Times New Roman"/>
          <w:b/>
          <w:sz w:val="24"/>
          <w:lang w:eastAsia="hu-HU"/>
        </w:rPr>
        <w:t>a „kötelező” kommunikációs csomagok kialakítása</w:t>
      </w:r>
      <w:r w:rsidR="00111CB6">
        <w:rPr>
          <w:rFonts w:ascii="Times New Roman" w:eastAsia="Times New Roman" w:hAnsi="Times New Roman" w:cs="Times New Roman"/>
          <w:sz w:val="24"/>
          <w:lang w:eastAsia="hu-HU"/>
        </w:rPr>
        <w:t xml:space="preserve">, és kötelező alkalmazása. Ebben az esetben </w:t>
      </w:r>
      <w:r w:rsidR="00111CB6" w:rsidRPr="003D0264">
        <w:rPr>
          <w:rFonts w:ascii="Times New Roman" w:eastAsia="Times New Roman" w:hAnsi="Times New Roman" w:cs="Times New Roman"/>
          <w:b/>
          <w:sz w:val="24"/>
          <w:lang w:eastAsia="hu-HU"/>
        </w:rPr>
        <w:t>a projekt méretétől függően a megvalósító köteles a projektjéhez illeszkedő kommunikációs csomag minden elemét megvalósítani.</w:t>
      </w:r>
      <w:r w:rsidR="00111CB6">
        <w:rPr>
          <w:rFonts w:ascii="Times New Roman" w:eastAsia="Times New Roman" w:hAnsi="Times New Roman" w:cs="Times New Roman"/>
          <w:sz w:val="24"/>
          <w:lang w:eastAsia="hu-HU"/>
        </w:rPr>
        <w:t xml:space="preserve"> A költségek elszabadulása ellen ebben az esetben a Támogató az egyes csomagok „beárazásával” tud védekezni. (Azaz csak bizonyos összeghatárig engedi elszámolni a </w:t>
      </w:r>
      <w:r w:rsidR="0042797E">
        <w:rPr>
          <w:rFonts w:ascii="Times New Roman" w:eastAsia="Times New Roman" w:hAnsi="Times New Roman" w:cs="Times New Roman"/>
          <w:sz w:val="24"/>
          <w:lang w:eastAsia="hu-HU"/>
        </w:rPr>
        <w:t xml:space="preserve">felmerülő költségeket.) Ezt a gyakorlatot követtük a 2007-2013-as programozási periódusban. Röviden – szemléltetési célból – ismertetjük a legfontosabb </w:t>
      </w:r>
      <w:r w:rsidR="003A4E97">
        <w:rPr>
          <w:rFonts w:ascii="Times New Roman" w:eastAsia="Times New Roman" w:hAnsi="Times New Roman" w:cs="Times New Roman"/>
          <w:sz w:val="24"/>
          <w:lang w:eastAsia="hu-HU"/>
        </w:rPr>
        <w:t xml:space="preserve">alapelveket és </w:t>
      </w:r>
      <w:r w:rsidR="0042797E">
        <w:rPr>
          <w:rFonts w:ascii="Times New Roman" w:eastAsia="Times New Roman" w:hAnsi="Times New Roman" w:cs="Times New Roman"/>
          <w:sz w:val="24"/>
          <w:lang w:eastAsia="hu-HU"/>
        </w:rPr>
        <w:t>elemeket.</w:t>
      </w:r>
    </w:p>
    <w:p w:rsidR="003A4E97" w:rsidRPr="003A4E97" w:rsidRDefault="003A4E97" w:rsidP="00124F75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Legfontosabb alapelv, hogy a</w:t>
      </w:r>
      <w:r w:rsidRPr="003A4E97">
        <w:rPr>
          <w:rFonts w:ascii="Times New Roman" w:eastAsia="Times New Roman" w:hAnsi="Times New Roman" w:cs="Times New Roman"/>
          <w:sz w:val="24"/>
          <w:lang w:eastAsia="hu-HU"/>
        </w:rPr>
        <w:t xml:space="preserve"> projektek eltérő jellegéből fakadóan a kedvezményezettek eltérő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tartalmú </w:t>
      </w:r>
      <w:r w:rsidRPr="003A4E97">
        <w:rPr>
          <w:rFonts w:ascii="Times New Roman" w:eastAsia="Times New Roman" w:hAnsi="Times New Roman" w:cs="Times New Roman"/>
          <w:sz w:val="24"/>
          <w:lang w:eastAsia="hu-HU"/>
        </w:rPr>
        <w:t>kommunikációs csom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agokat kötelesek megvalósítani. </w:t>
      </w:r>
      <w:r w:rsidRPr="003A4E97">
        <w:rPr>
          <w:rFonts w:ascii="Times New Roman" w:eastAsia="Times New Roman" w:hAnsi="Times New Roman" w:cs="Times New Roman"/>
          <w:sz w:val="24"/>
          <w:lang w:eastAsia="hu-HU"/>
        </w:rPr>
        <w:t>A kedvezményezettek ugyanakkor a csomagbesorolástól és a proje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kt élet-szakaszától </w:t>
      </w:r>
      <w:r w:rsidRPr="003A4E97">
        <w:rPr>
          <w:rFonts w:ascii="Times New Roman" w:eastAsia="Times New Roman" w:hAnsi="Times New Roman" w:cs="Times New Roman"/>
          <w:sz w:val="24"/>
          <w:lang w:eastAsia="hu-HU"/>
        </w:rPr>
        <w:t xml:space="preserve">függetlenül kötelesek minden </w:t>
      </w:r>
      <w:r w:rsidRPr="003A4E97">
        <w:rPr>
          <w:rFonts w:ascii="Times New Roman" w:eastAsia="Times New Roman" w:hAnsi="Times New Roman" w:cs="Times New Roman"/>
          <w:sz w:val="24"/>
          <w:lang w:eastAsia="hu-HU"/>
        </w:rPr>
        <w:lastRenderedPageBreak/>
        <w:t>esetben az Európai Unió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által meghatározott, támogatás </w:t>
      </w:r>
      <w:r w:rsidRPr="003A4E97">
        <w:rPr>
          <w:rFonts w:ascii="Times New Roman" w:eastAsia="Times New Roman" w:hAnsi="Times New Roman" w:cs="Times New Roman"/>
          <w:sz w:val="24"/>
          <w:lang w:eastAsia="hu-HU"/>
        </w:rPr>
        <w:t>feltüntetésére vonatkozó előírásokat betartani.</w:t>
      </w:r>
    </w:p>
    <w:p w:rsidR="003A4E97" w:rsidRPr="003A4E97" w:rsidRDefault="003A4E97" w:rsidP="003D0264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3A4E97">
        <w:rPr>
          <w:rFonts w:ascii="Times New Roman" w:eastAsia="Times New Roman" w:hAnsi="Times New Roman" w:cs="Times New Roman"/>
          <w:sz w:val="24"/>
          <w:lang w:eastAsia="hu-HU"/>
        </w:rPr>
        <w:t xml:space="preserve">A kommunikációs csomagok meghatározásánál a következő </w:t>
      </w:r>
      <w:r w:rsidRPr="003D0264">
        <w:rPr>
          <w:rFonts w:ascii="Times New Roman" w:eastAsia="Times New Roman" w:hAnsi="Times New Roman" w:cs="Times New Roman"/>
          <w:b/>
          <w:sz w:val="24"/>
          <w:lang w:eastAsia="hu-HU"/>
        </w:rPr>
        <w:t>irányelvek</w:t>
      </w:r>
      <w:r w:rsidRPr="003A4E97">
        <w:rPr>
          <w:rFonts w:ascii="Times New Roman" w:eastAsia="Times New Roman" w:hAnsi="Times New Roman" w:cs="Times New Roman"/>
          <w:sz w:val="24"/>
          <w:lang w:eastAsia="hu-HU"/>
        </w:rPr>
        <w:t xml:space="preserve"> érvényesülnek:</w:t>
      </w:r>
    </w:p>
    <w:p w:rsidR="003A4E97" w:rsidRPr="003A4E97" w:rsidRDefault="003A4E97" w:rsidP="00124F75">
      <w:pPr>
        <w:tabs>
          <w:tab w:val="num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3A4E97">
        <w:rPr>
          <w:rFonts w:ascii="Times New Roman" w:eastAsia="Times New Roman" w:hAnsi="Times New Roman" w:cs="Times New Roman"/>
          <w:sz w:val="24"/>
          <w:lang w:eastAsia="hu-HU"/>
        </w:rPr>
        <w:t>I. csomag: 500 millió Ft feletti támogatás esetén,</w:t>
      </w:r>
    </w:p>
    <w:p w:rsidR="003A4E97" w:rsidRPr="003A4E97" w:rsidRDefault="003A4E97" w:rsidP="00124F75">
      <w:pPr>
        <w:tabs>
          <w:tab w:val="num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3A4E97">
        <w:rPr>
          <w:rFonts w:ascii="Times New Roman" w:eastAsia="Times New Roman" w:hAnsi="Times New Roman" w:cs="Times New Roman"/>
          <w:sz w:val="24"/>
          <w:lang w:eastAsia="hu-HU"/>
        </w:rPr>
        <w:t>II. csomag: 50 millió – 500 millió Ft között támogatás esetén,</w:t>
      </w:r>
    </w:p>
    <w:p w:rsidR="003A4E97" w:rsidRDefault="003A4E97" w:rsidP="00124F75">
      <w:pPr>
        <w:tabs>
          <w:tab w:val="num" w:pos="7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3A4E97">
        <w:rPr>
          <w:rFonts w:ascii="Times New Roman" w:eastAsia="Times New Roman" w:hAnsi="Times New Roman" w:cs="Times New Roman"/>
          <w:sz w:val="24"/>
          <w:lang w:eastAsia="hu-HU"/>
        </w:rPr>
        <w:t>III. csomag: 50 millió Ft alatti támogatás esetén.</w:t>
      </w:r>
    </w:p>
    <w:p w:rsidR="008423E2" w:rsidRDefault="008423E2" w:rsidP="00124F75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Az egyes csomagok különböző kötelező elemeket tartalmaznak, amelyek a mellékelt „ÚSZT kedvezményezettek tájékoztatási kötelezettségei” című dokumentum 5-6 oldalán találhatóak</w:t>
      </w:r>
      <w:r w:rsidR="00CD6FE2">
        <w:rPr>
          <w:rFonts w:ascii="Times New Roman" w:eastAsia="Times New Roman" w:hAnsi="Times New Roman" w:cs="Times New Roman"/>
          <w:sz w:val="24"/>
          <w:lang w:eastAsia="hu-HU"/>
        </w:rPr>
        <w:t>.</w:t>
      </w:r>
    </w:p>
    <w:p w:rsidR="009442AD" w:rsidRPr="00F969DB" w:rsidRDefault="009442AD" w:rsidP="00124F75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A másik lehetséges opció, amikor meg a </w:t>
      </w:r>
      <w:r w:rsidRPr="003D0264">
        <w:rPr>
          <w:rFonts w:ascii="Times New Roman" w:eastAsia="Times New Roman" w:hAnsi="Times New Roman" w:cs="Times New Roman"/>
          <w:b/>
          <w:sz w:val="24"/>
          <w:lang w:eastAsia="hu-HU"/>
        </w:rPr>
        <w:t>Kedvezményezettre bízza a Támogató a kommunikációs csomag kialakítását.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Ebben az esetben </w:t>
      </w:r>
      <w:r w:rsidRPr="003D0264">
        <w:rPr>
          <w:rFonts w:ascii="Times New Roman" w:eastAsia="Times New Roman" w:hAnsi="Times New Roman" w:cs="Times New Roman"/>
          <w:b/>
          <w:sz w:val="24"/>
          <w:lang w:eastAsia="hu-HU"/>
        </w:rPr>
        <w:t>általában a projekt teljes költségvetéséhez viszonyítottan határozzák meg a kommunikáció maximális költségét.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Emellett kombinációs megoldások is megjelennek a napi gyakorlatban, amikor a kötelező elemeket lehet ötvözni a kötelezően választható elemekkel.</w:t>
      </w:r>
    </w:p>
    <w:p w:rsidR="00000CA9" w:rsidRDefault="00F969DB" w:rsidP="00124F75">
      <w:p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969DB">
        <w:rPr>
          <w:rFonts w:ascii="Times New Roman" w:eastAsia="Times New Roman" w:hAnsi="Times New Roman" w:cs="Times New Roman"/>
          <w:sz w:val="24"/>
          <w:lang w:eastAsia="hu-HU"/>
        </w:rPr>
        <w:t xml:space="preserve">Az érdeklődő diákok </w:t>
      </w:r>
      <w:r>
        <w:rPr>
          <w:rFonts w:ascii="Times New Roman" w:eastAsia="Times New Roman" w:hAnsi="Times New Roman" w:cs="Times New Roman"/>
          <w:sz w:val="24"/>
          <w:lang w:eastAsia="hu-HU"/>
        </w:rPr>
        <w:t>számára a fejezethez csatolásra került a jelenlegi arculati kézikönyv, amely minden egy</w:t>
      </w:r>
      <w:r w:rsidR="00111CB6">
        <w:rPr>
          <w:rFonts w:ascii="Times New Roman" w:eastAsia="Times New Roman" w:hAnsi="Times New Roman" w:cs="Times New Roman"/>
          <w:sz w:val="24"/>
          <w:lang w:eastAsia="hu-HU"/>
        </w:rPr>
        <w:t>es kommunikációs elemmel kapcsolatban részletes iránymutatást tartalmaz. Jó olvasást kívánunk.</w:t>
      </w:r>
      <w:r w:rsidR="00124F75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124F75" w:rsidRPr="00682DD9" w:rsidRDefault="00124F75" w:rsidP="00124F75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124F75" w:rsidRDefault="00124F75" w:rsidP="00124F75">
      <w:pPr>
        <w:rPr>
          <w:i/>
        </w:rPr>
      </w:pPr>
    </w:p>
    <w:p w:rsidR="00124F75" w:rsidRPr="009261BF" w:rsidRDefault="00124F75" w:rsidP="00124F75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1A3740" w:rsidRPr="001A3740" w:rsidRDefault="001A3740" w:rsidP="001A3740">
      <w:pPr>
        <w:rPr>
          <w:i/>
        </w:rPr>
      </w:pPr>
      <w:r w:rsidRPr="001A3740">
        <w:rPr>
          <w:i/>
        </w:rPr>
        <w:t>Széchenyi 2020 Arculati kézikönyv</w:t>
      </w:r>
    </w:p>
    <w:p w:rsidR="001A3740" w:rsidRPr="001A3740" w:rsidRDefault="001A3740" w:rsidP="001A3740">
      <w:pPr>
        <w:rPr>
          <w:rStyle w:val="Hiperhivatkozs"/>
          <w:color w:val="0000FF" w:themeColor="hyperlink"/>
        </w:rPr>
      </w:pPr>
      <w:r w:rsidRPr="001A3740">
        <w:rPr>
          <w:rStyle w:val="Hiperhivatkozs"/>
          <w:i/>
          <w:color w:val="0000FF" w:themeColor="hyperlink"/>
        </w:rPr>
        <w:fldChar w:fldCharType="begin"/>
      </w:r>
      <w:r w:rsidRPr="001A3740">
        <w:rPr>
          <w:rStyle w:val="Hiperhivatkozs"/>
          <w:i/>
          <w:color w:val="0000FF" w:themeColor="hyperlink"/>
        </w:rPr>
        <w:instrText xml:space="preserve"> HYPERLINK "https://www.palyazat.gov.hu/download.php?objectId=78219</w:instrText>
      </w:r>
    </w:p>
    <w:p w:rsidR="001A3740" w:rsidRPr="001A3740" w:rsidRDefault="001A3740" w:rsidP="001A3740">
      <w:pPr>
        <w:rPr>
          <w:rStyle w:val="Hiperhivatkozs"/>
          <w:color w:val="0000FF" w:themeColor="hyperlink"/>
        </w:rPr>
      </w:pPr>
      <w:r w:rsidRPr="001A3740">
        <w:rPr>
          <w:rStyle w:val="Hiperhivatkozs"/>
          <w:i/>
          <w:color w:val="0000FF" w:themeColor="hyperlink"/>
        </w:rPr>
        <w:instrText xml:space="preserve">" </w:instrText>
      </w:r>
      <w:r w:rsidRPr="001A3740">
        <w:rPr>
          <w:rStyle w:val="Hiperhivatkozs"/>
          <w:i/>
          <w:color w:val="0000FF" w:themeColor="hyperlink"/>
        </w:rPr>
        <w:fldChar w:fldCharType="separate"/>
      </w:r>
      <w:r w:rsidRPr="001A3740">
        <w:rPr>
          <w:rStyle w:val="Hiperhivatkozs"/>
          <w:color w:val="0000FF" w:themeColor="hyperlink"/>
        </w:rPr>
        <w:t>https://www.palyazat.gov.hu/download.php?objectId=78219</w:t>
      </w:r>
    </w:p>
    <w:p w:rsidR="001A3740" w:rsidRPr="001A3740" w:rsidRDefault="001A3740" w:rsidP="001A3740">
      <w:pPr>
        <w:rPr>
          <w:i/>
        </w:rPr>
      </w:pPr>
      <w:r w:rsidRPr="001A3740">
        <w:rPr>
          <w:rStyle w:val="Hiperhivatkozs"/>
          <w:i/>
          <w:color w:val="0000FF" w:themeColor="hyperlink"/>
        </w:rPr>
        <w:fldChar w:fldCharType="end"/>
      </w:r>
      <w:r>
        <w:rPr>
          <w:i/>
        </w:rPr>
        <w:t>P</w:t>
      </w:r>
      <w:r w:rsidRPr="001A3740">
        <w:rPr>
          <w:i/>
        </w:rPr>
        <w:t xml:space="preserve">raktikus módon az arculati kézikönyvvel érdemes megismerkedni </w:t>
      </w:r>
      <w:r w:rsidRPr="001A3740">
        <w:rPr>
          <w:i/>
        </w:rPr>
        <w:sym w:font="Wingdings" w:char="F04A"/>
      </w:r>
    </w:p>
    <w:p w:rsidR="00124F75" w:rsidRDefault="00124F75" w:rsidP="00124F75">
      <w:pPr>
        <w:rPr>
          <w:i/>
        </w:rPr>
      </w:pPr>
    </w:p>
    <w:p w:rsidR="00124F75" w:rsidRPr="009261BF" w:rsidRDefault="00124F75" w:rsidP="00124F75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124F75" w:rsidRDefault="00124F75" w:rsidP="00124F75">
      <w:pPr>
        <w:rPr>
          <w:i/>
        </w:rPr>
      </w:pPr>
    </w:p>
    <w:p w:rsidR="00124F75" w:rsidRDefault="00124F75" w:rsidP="00124F75">
      <w:pPr>
        <w:rPr>
          <w:i/>
        </w:rPr>
      </w:pPr>
      <w:r>
        <w:rPr>
          <w:i/>
        </w:rPr>
        <w:t>a, Mi</w:t>
      </w:r>
      <w:r w:rsidR="00B1692B">
        <w:rPr>
          <w:i/>
        </w:rPr>
        <w:t>lyen lehetőségek vannak a kötelező kommunikáció terén a hazai gyakorlatban?</w:t>
      </w:r>
    </w:p>
    <w:p w:rsidR="00124F75" w:rsidRDefault="00124F75" w:rsidP="00124F75">
      <w:pPr>
        <w:rPr>
          <w:i/>
        </w:rPr>
      </w:pPr>
      <w:r>
        <w:rPr>
          <w:i/>
        </w:rPr>
        <w:t xml:space="preserve">b, Milyen </w:t>
      </w:r>
      <w:r w:rsidR="00B1692B">
        <w:rPr>
          <w:i/>
        </w:rPr>
        <w:t>irányelvek vannak érvényben a kommunikációs csomagok meghatározásánál?</w:t>
      </w:r>
    </w:p>
    <w:p w:rsidR="00124F75" w:rsidRDefault="00124F75" w:rsidP="00124F75">
      <w:pPr>
        <w:ind w:firstLine="567"/>
        <w:rPr>
          <w:i/>
        </w:rPr>
      </w:pPr>
    </w:p>
    <w:p w:rsidR="00124F75" w:rsidRPr="009261BF" w:rsidRDefault="00124F75" w:rsidP="00124F75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lastRenderedPageBreak/>
        <w:t xml:space="preserve">Adaptáció a kiválósághoz: </w:t>
      </w:r>
    </w:p>
    <w:p w:rsidR="00124F75" w:rsidRPr="004D59DE" w:rsidRDefault="001A3740" w:rsidP="004D59DE">
      <w:pPr>
        <w:rPr>
          <w:i/>
        </w:rPr>
      </w:pPr>
      <w:r>
        <w:rPr>
          <w:i/>
        </w:rPr>
        <w:t>Próbáld meghatározni, hogy a saját projekted esetén milyen kommunikációs eszközöket érdemes használnod! Vannak esetleg kötelező elemek?</w:t>
      </w:r>
      <w:bookmarkStart w:id="0" w:name="_GoBack"/>
      <w:bookmarkEnd w:id="0"/>
    </w:p>
    <w:p w:rsidR="00000CA9" w:rsidRDefault="00000CA9"/>
    <w:p w:rsidR="00000CA9" w:rsidRDefault="00000CA9">
      <w:r w:rsidRPr="002C705A">
        <w:rPr>
          <w:noProof/>
          <w:lang w:eastAsia="hu-HU"/>
        </w:rPr>
        <w:drawing>
          <wp:inline distT="0" distB="0" distL="0" distR="0" wp14:anchorId="27117491" wp14:editId="63B1ADB9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A9"/>
    <w:rsid w:val="00000CA9"/>
    <w:rsid w:val="00056D23"/>
    <w:rsid w:val="000A73A4"/>
    <w:rsid w:val="00111CB6"/>
    <w:rsid w:val="00124F75"/>
    <w:rsid w:val="001A3740"/>
    <w:rsid w:val="002C3099"/>
    <w:rsid w:val="003A4E97"/>
    <w:rsid w:val="003D0264"/>
    <w:rsid w:val="00411E97"/>
    <w:rsid w:val="0042797E"/>
    <w:rsid w:val="004D59DE"/>
    <w:rsid w:val="008423E2"/>
    <w:rsid w:val="009442AD"/>
    <w:rsid w:val="009925B5"/>
    <w:rsid w:val="00B1692B"/>
    <w:rsid w:val="00CD3D3F"/>
    <w:rsid w:val="00CD6FE2"/>
    <w:rsid w:val="00E71B9F"/>
    <w:rsid w:val="00F30EE1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C696-B2BD-4181-9542-7E86217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0CA9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124F75"/>
    <w:pPr>
      <w:keepNext/>
      <w:numPr>
        <w:numId w:val="1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124F75"/>
    <w:pPr>
      <w:keepNext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124F75"/>
    <w:pPr>
      <w:keepNext/>
      <w:numPr>
        <w:ilvl w:val="2"/>
        <w:numId w:val="1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124F75"/>
    <w:pPr>
      <w:keepNext/>
      <w:numPr>
        <w:ilvl w:val="3"/>
        <w:numId w:val="1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124F75"/>
    <w:pPr>
      <w:keepNext/>
      <w:numPr>
        <w:ilvl w:val="4"/>
        <w:numId w:val="1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124F75"/>
    <w:pPr>
      <w:keepNext/>
      <w:numPr>
        <w:ilvl w:val="5"/>
        <w:numId w:val="1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124F7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124F7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124F7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CA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24F7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124F7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124F7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124F7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124F7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124F7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124F7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24F7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24F75"/>
    <w:rPr>
      <w:rFonts w:ascii="Arial" w:eastAsia="Times New Roman" w:hAnsi="Arial" w:cs="Times New Roman"/>
      <w:b/>
      <w:i/>
      <w:sz w:val="18"/>
      <w:lang w:eastAsia="hu-HU"/>
    </w:rPr>
  </w:style>
  <w:style w:type="table" w:styleId="Rcsostblzat">
    <w:name w:val="Table Grid"/>
    <w:basedOn w:val="Normltblzat"/>
    <w:uiPriority w:val="39"/>
    <w:rsid w:val="0012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925B5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1A37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A3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Mónika Dr. Imreh-Tóth</cp:lastModifiedBy>
  <cp:revision>4</cp:revision>
  <cp:lastPrinted>2018-09-04T12:00:00Z</cp:lastPrinted>
  <dcterms:created xsi:type="dcterms:W3CDTF">2019-03-25T14:04:00Z</dcterms:created>
  <dcterms:modified xsi:type="dcterms:W3CDTF">2019-04-08T15:14:00Z</dcterms:modified>
</cp:coreProperties>
</file>