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4EBE" w14:textId="77777777" w:rsidR="004B5F61" w:rsidRDefault="004B5F61">
      <w:pPr>
        <w:rPr>
          <w:rFonts w:ascii="Times New Roman" w:hAnsi="Times New Roman" w:cs="Times New Roman"/>
          <w:sz w:val="32"/>
          <w:szCs w:val="32"/>
        </w:rPr>
      </w:pPr>
    </w:p>
    <w:p w14:paraId="17A6CC02" w14:textId="77777777" w:rsidR="004B5F61" w:rsidRDefault="004B5F61">
      <w:pPr>
        <w:rPr>
          <w:rFonts w:ascii="Times New Roman" w:hAnsi="Times New Roman" w:cs="Times New Roman"/>
          <w:sz w:val="32"/>
          <w:szCs w:val="32"/>
        </w:rPr>
      </w:pPr>
    </w:p>
    <w:p w14:paraId="74ED1B4D" w14:textId="77777777" w:rsidR="004B5F61" w:rsidRDefault="004B5F61">
      <w:pPr>
        <w:rPr>
          <w:rFonts w:ascii="Times New Roman" w:hAnsi="Times New Roman" w:cs="Times New Roman"/>
          <w:sz w:val="32"/>
          <w:szCs w:val="32"/>
        </w:rPr>
      </w:pPr>
    </w:p>
    <w:p w14:paraId="473D4A1D" w14:textId="77777777" w:rsidR="004B5F61" w:rsidRDefault="004B5F61">
      <w:pPr>
        <w:rPr>
          <w:rFonts w:ascii="Times New Roman" w:hAnsi="Times New Roman" w:cs="Times New Roman"/>
          <w:sz w:val="32"/>
          <w:szCs w:val="32"/>
        </w:rPr>
      </w:pPr>
    </w:p>
    <w:p w14:paraId="15511F2B" w14:textId="77777777" w:rsidR="004B5F61" w:rsidRDefault="004B5F61">
      <w:pPr>
        <w:rPr>
          <w:rFonts w:ascii="Times New Roman" w:hAnsi="Times New Roman" w:cs="Times New Roman"/>
          <w:sz w:val="32"/>
          <w:szCs w:val="32"/>
        </w:rPr>
      </w:pPr>
    </w:p>
    <w:p w14:paraId="642565EC" w14:textId="77777777" w:rsidR="00A03A44" w:rsidRPr="004B5F61" w:rsidRDefault="004B5F61" w:rsidP="004B5F6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5F61">
        <w:rPr>
          <w:rFonts w:ascii="Times New Roman" w:hAnsi="Times New Roman" w:cs="Times New Roman"/>
          <w:b/>
          <w:sz w:val="40"/>
          <w:szCs w:val="40"/>
        </w:rPr>
        <w:t>Az üzleti modellezés alapvető kérdései</w:t>
      </w:r>
    </w:p>
    <w:p w14:paraId="09C3FC82" w14:textId="77777777" w:rsidR="004B5F61" w:rsidRDefault="004B5F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EBABEAD" w14:textId="77777777" w:rsidR="004B5F61" w:rsidRDefault="004B5F61" w:rsidP="00DF7B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üzleti modellezés a 2000-es évek első felében elterjedt, elsősorban a stratégia-alkotás eredményét konkretizáló megoldás/konstrukció. Pontos jelentéstartalma a mai napig nem tisztázott, számtalan meghatározása elterjedt, így például:</w:t>
      </w:r>
    </w:p>
    <w:p w14:paraId="1D31B636" w14:textId="77777777" w:rsidR="004B5F61" w:rsidRPr="004B5F61" w:rsidRDefault="004B5F61" w:rsidP="004B5F6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F61">
        <w:rPr>
          <w:rFonts w:ascii="Times New Roman" w:hAnsi="Times New Roman" w:cs="Times New Roman"/>
          <w:sz w:val="24"/>
          <w:szCs w:val="24"/>
        </w:rPr>
        <w:t>„</w:t>
      </w:r>
      <w:r w:rsidRPr="004B5F61">
        <w:rPr>
          <w:rFonts w:ascii="Times New Roman" w:hAnsi="Times New Roman" w:cs="Times New Roman"/>
          <w:i/>
          <w:iCs/>
          <w:sz w:val="24"/>
          <w:szCs w:val="24"/>
        </w:rPr>
        <w:t>Ki a vevő; mi a vevői érték; hogyan csinálunk pénzt ebben az üzletben; hogyan nyújtunk értéket a vevőknek meghatározott költségen</w:t>
      </w:r>
      <w:r w:rsidR="00332249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332249"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 w:rsidRPr="004B5F61">
        <w:rPr>
          <w:rFonts w:ascii="Times New Roman" w:hAnsi="Times New Roman" w:cs="Times New Roman"/>
          <w:sz w:val="24"/>
          <w:szCs w:val="24"/>
        </w:rPr>
        <w:t>).</w:t>
      </w:r>
    </w:p>
    <w:p w14:paraId="1727F469" w14:textId="77777777" w:rsidR="004B5F61" w:rsidRPr="004B5F61" w:rsidRDefault="004B5F61" w:rsidP="004B5F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61">
        <w:rPr>
          <w:rFonts w:ascii="Times New Roman" w:hAnsi="Times New Roman" w:cs="Times New Roman"/>
          <w:i/>
          <w:iCs/>
          <w:sz w:val="24"/>
          <w:szCs w:val="24"/>
        </w:rPr>
        <w:t xml:space="preserve">„Ahogyan tervezted, hogy pénzt fogsz csinálni” </w:t>
      </w:r>
      <w:r w:rsidR="00332249">
        <w:rPr>
          <w:rFonts w:ascii="Times New Roman" w:hAnsi="Times New Roman" w:cs="Times New Roman"/>
          <w:sz w:val="24"/>
          <w:szCs w:val="24"/>
        </w:rPr>
        <w:t>(Lewis</w:t>
      </w:r>
      <w:r w:rsidRPr="004B5F61">
        <w:rPr>
          <w:rFonts w:ascii="Times New Roman" w:hAnsi="Times New Roman" w:cs="Times New Roman"/>
          <w:sz w:val="24"/>
          <w:szCs w:val="24"/>
        </w:rPr>
        <w:t>).</w:t>
      </w:r>
    </w:p>
    <w:p w14:paraId="72D81BDC" w14:textId="77777777" w:rsidR="004B5F61" w:rsidRDefault="004B5F61" w:rsidP="004B5F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61">
        <w:rPr>
          <w:rFonts w:ascii="Times New Roman" w:hAnsi="Times New Roman" w:cs="Times New Roman"/>
          <w:i/>
          <w:iCs/>
          <w:sz w:val="24"/>
          <w:szCs w:val="24"/>
        </w:rPr>
        <w:t>„Az üzleti modell az üzlet menedzselésének átfogó leírása”</w:t>
      </w:r>
      <w:r w:rsidR="003322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2249">
        <w:rPr>
          <w:rFonts w:ascii="Times New Roman" w:hAnsi="Times New Roman" w:cs="Times New Roman"/>
          <w:sz w:val="24"/>
          <w:szCs w:val="24"/>
        </w:rPr>
        <w:t>Margaretta</w:t>
      </w:r>
      <w:proofErr w:type="spellEnd"/>
      <w:r w:rsidRPr="004B5F61">
        <w:rPr>
          <w:rFonts w:ascii="Times New Roman" w:hAnsi="Times New Roman" w:cs="Times New Roman"/>
          <w:sz w:val="24"/>
          <w:szCs w:val="24"/>
        </w:rPr>
        <w:t>).</w:t>
      </w:r>
    </w:p>
    <w:p w14:paraId="67B1BE35" w14:textId="77777777" w:rsidR="004B5F61" w:rsidRPr="004B5F61" w:rsidRDefault="004B5F61" w:rsidP="004B5F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F61">
        <w:rPr>
          <w:rFonts w:ascii="Times New Roman" w:hAnsi="Times New Roman" w:cs="Times New Roman"/>
          <w:i/>
          <w:iCs/>
          <w:sz w:val="24"/>
          <w:szCs w:val="24"/>
        </w:rPr>
        <w:t>„Az üzletre vonatkozó feltételezések és hipotézisek összessége”</w:t>
      </w:r>
      <w:r w:rsidR="003322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2249">
        <w:rPr>
          <w:rFonts w:ascii="Times New Roman" w:hAnsi="Times New Roman" w:cs="Times New Roman"/>
          <w:sz w:val="24"/>
          <w:szCs w:val="24"/>
        </w:rPr>
        <w:t>Osterwalder</w:t>
      </w:r>
      <w:proofErr w:type="spellEnd"/>
      <w:r w:rsidRPr="004B5F61">
        <w:rPr>
          <w:rFonts w:ascii="Times New Roman" w:hAnsi="Times New Roman" w:cs="Times New Roman"/>
          <w:sz w:val="24"/>
          <w:szCs w:val="24"/>
        </w:rPr>
        <w:t>).</w:t>
      </w:r>
    </w:p>
    <w:p w14:paraId="28DAD7B0" w14:textId="77777777" w:rsidR="004B5F61" w:rsidRDefault="004B5F61" w:rsidP="004B5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14C02" w14:textId="77777777" w:rsidR="004B5F61" w:rsidRDefault="004B5F61" w:rsidP="00DF7BA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Az üzleti modellt, egyfajta logikaként szemléljük, mely segít azonosítani azt az alapvető üzleti konstrukciót, mely a szervezet számára profitábilis működést biztosít</w:t>
      </w:r>
      <w:r>
        <w:rPr>
          <w:rFonts w:ascii="Times New Roman" w:hAnsi="Times New Roman" w:cs="Times New Roman"/>
          <w:sz w:val="24"/>
          <w:szCs w:val="24"/>
        </w:rPr>
        <w:t>. Jelentéstartalmának megértését elsősorban indokoltságának kiemelésével lehet hangsúlyozni:</w:t>
      </w:r>
    </w:p>
    <w:p w14:paraId="571DD718" w14:textId="77777777" w:rsidR="004B5F61" w:rsidRDefault="004B5F61" w:rsidP="004B5F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’90-es évek végére nyilvánvalóvá váló tapasztalat, mely szerint a pozícionáló stratégia-alkotás több korláttal jellemezhető, mint előnnyel, a szervezeteket a vállalkozói, tanulási, vagy képesség alapú stratégia-alkotási mechanizmusokra ösztönözte.</w:t>
      </w:r>
    </w:p>
    <w:p w14:paraId="2ED1A2FD" w14:textId="77777777" w:rsidR="004B5F61" w:rsidRDefault="004B5F61" w:rsidP="004B5F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stratégia-alkotási megközelítésmódok ugyanakkor nem adnak egyértelmű választ </w:t>
      </w:r>
      <w:r w:rsidR="00E16C00">
        <w:rPr>
          <w:rFonts w:ascii="Times New Roman" w:hAnsi="Times New Roman" w:cs="Times New Roman"/>
          <w:sz w:val="24"/>
          <w:szCs w:val="24"/>
        </w:rPr>
        <w:t>a profitábilis működés megvalósításának módjára, sokkal inkább a szervezet által kiaknázandó erőforrás azonosítására, továbbfejlesztésének irányára, azaz a szervezeti értékteremtés magjára koncentrálnak.</w:t>
      </w:r>
    </w:p>
    <w:p w14:paraId="3B6693A2" w14:textId="17C3A83D" w:rsidR="00E16C00" w:rsidRDefault="00E16C00" w:rsidP="004B5F61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szükségesnek mutatkozott olyan megoldások keresése, melyek választ adnak</w:t>
      </w:r>
      <w:r w:rsidR="00DF7BA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szervezeti stratégia üzleti kiaknázására, a szervezet által követendő működé</w:t>
      </w:r>
      <w:r w:rsidR="00B5554B">
        <w:rPr>
          <w:rFonts w:ascii="Times New Roman" w:hAnsi="Times New Roman" w:cs="Times New Roman"/>
          <w:sz w:val="24"/>
          <w:szCs w:val="24"/>
        </w:rPr>
        <w:t>si modell leírására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3A91E1" w14:textId="77777777" w:rsidR="00E16C00" w:rsidRDefault="00E16C00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B5163" w14:textId="23672848" w:rsidR="00E16C00" w:rsidRDefault="00E16C00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 xml:space="preserve">Az üzleti modell alapvetően három terület középpontba </w:t>
      </w:r>
      <w:r w:rsidR="00DF7BA1">
        <w:rPr>
          <w:rFonts w:ascii="Times New Roman" w:hAnsi="Times New Roman" w:cs="Times New Roman"/>
          <w:b/>
          <w:sz w:val="24"/>
          <w:szCs w:val="24"/>
        </w:rPr>
        <w:t>állítását</w:t>
      </w:r>
      <w:r w:rsidRPr="00B5554B">
        <w:rPr>
          <w:rFonts w:ascii="Times New Roman" w:hAnsi="Times New Roman" w:cs="Times New Roman"/>
          <w:b/>
          <w:sz w:val="24"/>
          <w:szCs w:val="24"/>
        </w:rPr>
        <w:t xml:space="preserve"> hangsúlyozza</w:t>
      </w:r>
      <w:r w:rsidR="00E754FA">
        <w:rPr>
          <w:rFonts w:ascii="Times New Roman" w:hAnsi="Times New Roman" w:cs="Times New Roman"/>
          <w:sz w:val="24"/>
          <w:szCs w:val="24"/>
        </w:rPr>
        <w:t xml:space="preserve"> (a leírás szemléltetését az 1.sz. ábra nyújtja)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26E04F9" w14:textId="77777777" w:rsidR="00E16C00" w:rsidRDefault="00E16C00" w:rsidP="00E16C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az értékajánlat azonosítását</w:t>
      </w:r>
      <w:r>
        <w:rPr>
          <w:rFonts w:ascii="Times New Roman" w:hAnsi="Times New Roman" w:cs="Times New Roman"/>
          <w:sz w:val="24"/>
          <w:szCs w:val="24"/>
        </w:rPr>
        <w:t xml:space="preserve"> (milyen olyan alapvető értéket tud nyújtani a szervezet, melyet alapvető hozzáértésére támaszkodva, fenntartható módon tud kínálni az azt igénybevevők számára).</w:t>
      </w:r>
    </w:p>
    <w:p w14:paraId="01C1C5A3" w14:textId="4C9A771F" w:rsidR="00E16C00" w:rsidRDefault="00E754FA" w:rsidP="00E16C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a piaci konstrukció</w:t>
      </w:r>
      <w:r w:rsidR="00E16C00" w:rsidRPr="00B5554B">
        <w:rPr>
          <w:rFonts w:ascii="Times New Roman" w:hAnsi="Times New Roman" w:cs="Times New Roman"/>
          <w:b/>
          <w:sz w:val="24"/>
          <w:szCs w:val="24"/>
        </w:rPr>
        <w:t xml:space="preserve"> azonosítását</w:t>
      </w:r>
      <w:r w:rsidR="00E16C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hogyan és kik számára képes a szervezet piacra vinni az értékajánlatot, milyen módon </w:t>
      </w:r>
      <w:r w:rsidR="00DF7BA1">
        <w:rPr>
          <w:rFonts w:ascii="Times New Roman" w:hAnsi="Times New Roman" w:cs="Times New Roman"/>
          <w:sz w:val="24"/>
          <w:szCs w:val="24"/>
        </w:rPr>
        <w:t xml:space="preserve">és mekkora jövedelmet </w:t>
      </w:r>
      <w:r>
        <w:rPr>
          <w:rFonts w:ascii="Times New Roman" w:hAnsi="Times New Roman" w:cs="Times New Roman"/>
          <w:sz w:val="24"/>
          <w:szCs w:val="24"/>
        </w:rPr>
        <w:t>képes mindebből</w:t>
      </w:r>
      <w:r w:rsidR="00DF7BA1">
        <w:rPr>
          <w:rFonts w:ascii="Times New Roman" w:hAnsi="Times New Roman" w:cs="Times New Roman"/>
          <w:sz w:val="24"/>
          <w:szCs w:val="24"/>
        </w:rPr>
        <w:t xml:space="preserve"> realizálni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1C7B764" w14:textId="0DE2FD86" w:rsidR="00E754FA" w:rsidRPr="00E16C00" w:rsidRDefault="00E754FA" w:rsidP="00E16C00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az architektúra konstrukciójának azonosítása</w:t>
      </w:r>
      <w:r>
        <w:rPr>
          <w:rFonts w:ascii="Times New Roman" w:hAnsi="Times New Roman" w:cs="Times New Roman"/>
          <w:sz w:val="24"/>
          <w:szCs w:val="24"/>
        </w:rPr>
        <w:t xml:space="preserve"> (hogyan és mit szükséges menedzselni annak érdekében, hogy az értékajánlat fenntartható módon piacra vihető legyen és milyen módon</w:t>
      </w:r>
      <w:r w:rsidR="00DF7B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mit szükséges mindehhez finanszírozni).</w:t>
      </w:r>
    </w:p>
    <w:p w14:paraId="65D31B25" w14:textId="77777777" w:rsidR="00E16C00" w:rsidRDefault="00E16C00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54488" w14:textId="77777777" w:rsidR="005F4FCB" w:rsidRDefault="005F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E315C3" w14:textId="77777777" w:rsidR="00E16C00" w:rsidRPr="00DF7BA1" w:rsidRDefault="00E16C00" w:rsidP="00DF7B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BA1">
        <w:rPr>
          <w:rFonts w:ascii="Times New Roman" w:hAnsi="Times New Roman" w:cs="Times New Roman"/>
          <w:b/>
          <w:i/>
          <w:sz w:val="24"/>
          <w:szCs w:val="24"/>
        </w:rPr>
        <w:lastRenderedPageBreak/>
        <w:t>1.sz. ábra</w:t>
      </w:r>
      <w:r w:rsidRPr="00DF7BA1">
        <w:rPr>
          <w:rFonts w:ascii="Times New Roman" w:hAnsi="Times New Roman" w:cs="Times New Roman"/>
          <w:b/>
          <w:sz w:val="24"/>
          <w:szCs w:val="24"/>
        </w:rPr>
        <w:t>: Az üzleti modellek fókusza</w:t>
      </w:r>
      <w:r w:rsidR="005F4FCB" w:rsidRPr="00DF7BA1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2C69329" w14:textId="77777777" w:rsidR="00E16C00" w:rsidRDefault="00E16C00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668438C" wp14:editId="68CBF913">
            <wp:extent cx="5654675" cy="1581150"/>
            <wp:effectExtent l="0" t="0" r="317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92"/>
                    <a:stretch/>
                  </pic:blipFill>
                  <pic:spPr bwMode="auto">
                    <a:xfrm>
                      <a:off x="0" y="0"/>
                      <a:ext cx="5658025" cy="15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086402" w14:textId="274F42C9" w:rsidR="00E16C00" w:rsidRDefault="00DF7BA1" w:rsidP="00DF7BA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BA1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Móricz 2009 nyomán saját szerkesztés.</w:t>
      </w:r>
    </w:p>
    <w:p w14:paraId="26C1EF1D" w14:textId="77777777" w:rsidR="00DF7BA1" w:rsidRDefault="00DF7BA1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191F1" w14:textId="77777777" w:rsidR="00E47CD4" w:rsidRDefault="00E754FA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üzleti modellalkotás meglehetősen folyamatorientált leírását az 2.sz. ábra szemlélteti. Az ábrán jól követhető mó</w:t>
      </w:r>
      <w:r w:rsidR="00E47CD4">
        <w:rPr>
          <w:rFonts w:ascii="Times New Roman" w:hAnsi="Times New Roman" w:cs="Times New Roman"/>
          <w:sz w:val="24"/>
          <w:szCs w:val="24"/>
        </w:rPr>
        <w:t xml:space="preserve">don rajzolódik ki az üzleti modell 3 alapvető területe. Egyrészt </w:t>
      </w:r>
      <w:r w:rsidR="00E47CD4" w:rsidRPr="00B5554B">
        <w:rPr>
          <w:rFonts w:ascii="Times New Roman" w:hAnsi="Times New Roman" w:cs="Times New Roman"/>
          <w:b/>
          <w:sz w:val="24"/>
          <w:szCs w:val="24"/>
        </w:rPr>
        <w:t>a szervezet által alkotott érték azon kulcstevékenységek függvénye, melyek tekintetében a cég hozzáadott értékkel bír</w:t>
      </w:r>
      <w:r w:rsidR="00E47CD4">
        <w:rPr>
          <w:rFonts w:ascii="Times New Roman" w:hAnsi="Times New Roman" w:cs="Times New Roman"/>
          <w:sz w:val="24"/>
          <w:szCs w:val="24"/>
        </w:rPr>
        <w:t xml:space="preserve">. Az </w:t>
      </w:r>
      <w:r w:rsidR="00E47CD4" w:rsidRPr="00B5554B">
        <w:rPr>
          <w:rFonts w:ascii="Times New Roman" w:hAnsi="Times New Roman" w:cs="Times New Roman"/>
          <w:b/>
          <w:sz w:val="24"/>
          <w:szCs w:val="24"/>
        </w:rPr>
        <w:t>értékajánlatot részben a szervezet által végzett kulcstevékenységek szolgáltatják, részben partnerek</w:t>
      </w:r>
      <w:r w:rsidR="00E47CD4">
        <w:rPr>
          <w:rFonts w:ascii="Times New Roman" w:hAnsi="Times New Roman" w:cs="Times New Roman"/>
          <w:sz w:val="24"/>
          <w:szCs w:val="24"/>
        </w:rPr>
        <w:t xml:space="preserve"> (szállítók, kooperációs partnerek, ügyfelek) </w:t>
      </w:r>
      <w:r w:rsidR="00E47CD4" w:rsidRPr="00B5554B">
        <w:rPr>
          <w:rFonts w:ascii="Times New Roman" w:hAnsi="Times New Roman" w:cs="Times New Roman"/>
          <w:b/>
          <w:sz w:val="24"/>
          <w:szCs w:val="24"/>
        </w:rPr>
        <w:t>által végzett tevékenységek</w:t>
      </w:r>
      <w:r w:rsidR="00E47CD4">
        <w:rPr>
          <w:rFonts w:ascii="Times New Roman" w:hAnsi="Times New Roman" w:cs="Times New Roman"/>
          <w:sz w:val="24"/>
          <w:szCs w:val="24"/>
        </w:rPr>
        <w:t xml:space="preserve">, ahol a kettő aránya szervezeti döntés függvénye (ahol a fenntartható módon bevonandó/igénybe veendő kulcstevékenységek valamilyen jellegű kooperációt igényelnek). </w:t>
      </w:r>
    </w:p>
    <w:p w14:paraId="0978B600" w14:textId="77777777" w:rsidR="00E16C00" w:rsidRDefault="00E47CD4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Az értékajánlat piacra vihető önállóan, de más szervezetek által nyújtott értékajánlat részeként is</w:t>
      </w:r>
      <w:r>
        <w:rPr>
          <w:rFonts w:ascii="Times New Roman" w:hAnsi="Times New Roman" w:cs="Times New Roman"/>
          <w:sz w:val="24"/>
          <w:szCs w:val="24"/>
        </w:rPr>
        <w:t xml:space="preserve"> (más értékajánlatba csomagolva). Ez esetben kérdésként jelentkezik, hogy mely ügyfélcsoport számára nyújt az értékajánlat (vagy annak része) értéket, mely csatornán keresztül tudja adott ügyfélcsoport elérni az értékajánlatot, és igényel-e az értékajánlat nyújtása bármilyen kapcsolati magatartást.</w:t>
      </w:r>
    </w:p>
    <w:p w14:paraId="76EAE3C1" w14:textId="77777777" w:rsidR="00E47CD4" w:rsidRDefault="00E47CD4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üzleti modell másik oldalát az erőforrás oldal jelenti. </w:t>
      </w:r>
      <w:r w:rsidRPr="00B5554B">
        <w:rPr>
          <w:rFonts w:ascii="Times New Roman" w:hAnsi="Times New Roman" w:cs="Times New Roman"/>
          <w:b/>
          <w:sz w:val="24"/>
          <w:szCs w:val="24"/>
        </w:rPr>
        <w:t>A szervezet által nyújtott kulcstevékenységek erőforrásokat</w:t>
      </w:r>
      <w:r>
        <w:rPr>
          <w:rFonts w:ascii="Times New Roman" w:hAnsi="Times New Roman" w:cs="Times New Roman"/>
          <w:sz w:val="24"/>
          <w:szCs w:val="24"/>
        </w:rPr>
        <w:t xml:space="preserve"> (ilyen oldalról megközelítve kiemelt erőforrásokat) </w:t>
      </w:r>
      <w:r w:rsidRPr="00B5554B">
        <w:rPr>
          <w:rFonts w:ascii="Times New Roman" w:hAnsi="Times New Roman" w:cs="Times New Roman"/>
          <w:b/>
          <w:sz w:val="24"/>
          <w:szCs w:val="24"/>
        </w:rPr>
        <w:t>igényelnek</w:t>
      </w:r>
      <w:r w:rsidR="00DF47AE">
        <w:rPr>
          <w:rFonts w:ascii="Times New Roman" w:hAnsi="Times New Roman" w:cs="Times New Roman"/>
          <w:sz w:val="24"/>
          <w:szCs w:val="24"/>
        </w:rPr>
        <w:t xml:space="preserve">, melyek egy része a szervezetben található (például ismeret), míg más részük beszerzést igényel. Az értékajánlat szempontjából kulcsfontosságú erőforrások tekintetében </w:t>
      </w:r>
      <w:r w:rsidR="00DF47AE" w:rsidRPr="00B5554B">
        <w:rPr>
          <w:rFonts w:ascii="Times New Roman" w:hAnsi="Times New Roman" w:cs="Times New Roman"/>
          <w:b/>
          <w:sz w:val="24"/>
          <w:szCs w:val="24"/>
        </w:rPr>
        <w:t>lényeges kérdésként mutatkozhat az erőforrás szállítójával kiépítendő kooperáció</w:t>
      </w:r>
      <w:r w:rsidR="00DF47AE">
        <w:rPr>
          <w:rFonts w:ascii="Times New Roman" w:hAnsi="Times New Roman" w:cs="Times New Roman"/>
          <w:sz w:val="24"/>
          <w:szCs w:val="24"/>
        </w:rPr>
        <w:t xml:space="preserve"> módja és kerete.</w:t>
      </w:r>
    </w:p>
    <w:p w14:paraId="2C306770" w14:textId="77777777" w:rsidR="00E16C00" w:rsidRDefault="00DF47AE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Végül az üzleti modell esetében mind az értékajánlat, mind a piaci, mind az architektúra oldalán lényeges kérdésként mutatkozik a megvalósításhoz szükséges </w:t>
      </w:r>
      <w:r w:rsidRPr="00B5554B">
        <w:rPr>
          <w:rFonts w:ascii="Times New Roman" w:hAnsi="Times New Roman" w:cs="Times New Roman"/>
          <w:b/>
          <w:sz w:val="24"/>
          <w:szCs w:val="24"/>
        </w:rPr>
        <w:t>költségszerkezet</w:t>
      </w:r>
      <w:r>
        <w:rPr>
          <w:rFonts w:ascii="Times New Roman" w:hAnsi="Times New Roman" w:cs="Times New Roman"/>
          <w:sz w:val="24"/>
          <w:szCs w:val="24"/>
        </w:rPr>
        <w:t xml:space="preserve">, és a </w:t>
      </w:r>
      <w:r w:rsidRPr="00B5554B">
        <w:rPr>
          <w:rFonts w:ascii="Times New Roman" w:hAnsi="Times New Roman" w:cs="Times New Roman"/>
          <w:b/>
          <w:sz w:val="24"/>
          <w:szCs w:val="24"/>
        </w:rPr>
        <w:t>realizálható bevétel</w:t>
      </w:r>
      <w:r>
        <w:rPr>
          <w:rFonts w:ascii="Times New Roman" w:hAnsi="Times New Roman" w:cs="Times New Roman"/>
          <w:sz w:val="24"/>
          <w:szCs w:val="24"/>
        </w:rPr>
        <w:t xml:space="preserve"> módja és mértéke.</w:t>
      </w:r>
    </w:p>
    <w:p w14:paraId="57FD0522" w14:textId="77777777" w:rsidR="00DF47AE" w:rsidRDefault="00DF47AE" w:rsidP="00E16C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AD434" w14:textId="77777777" w:rsidR="005F4FCB" w:rsidRDefault="005F4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6B831E" w14:textId="77777777" w:rsidR="00E754FA" w:rsidRPr="00DF7BA1" w:rsidRDefault="00E754FA" w:rsidP="00E75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BA1">
        <w:rPr>
          <w:rFonts w:ascii="Times New Roman" w:hAnsi="Times New Roman" w:cs="Times New Roman"/>
          <w:b/>
          <w:i/>
          <w:sz w:val="24"/>
          <w:szCs w:val="24"/>
        </w:rPr>
        <w:lastRenderedPageBreak/>
        <w:t>2.sz. ábra:</w:t>
      </w:r>
      <w:r w:rsidRPr="00DF7BA1">
        <w:rPr>
          <w:rFonts w:ascii="Times New Roman" w:hAnsi="Times New Roman" w:cs="Times New Roman"/>
          <w:b/>
          <w:sz w:val="24"/>
          <w:szCs w:val="24"/>
        </w:rPr>
        <w:t xml:space="preserve"> Az üzleti modell elemeinek folyamatorientált logikája</w:t>
      </w:r>
    </w:p>
    <w:p w14:paraId="4991E087" w14:textId="77777777" w:rsidR="00E754FA" w:rsidRDefault="00E754FA" w:rsidP="00E75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5B11814" wp14:editId="75F57DB2">
            <wp:extent cx="5311141" cy="2828902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92" cy="2832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5F7195" w14:textId="5AC4844E" w:rsidR="00E16C00" w:rsidRPr="00DF7BA1" w:rsidRDefault="00E754FA" w:rsidP="00DF7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7BA1">
        <w:rPr>
          <w:rFonts w:ascii="Times New Roman" w:hAnsi="Times New Roman" w:cs="Times New Roman"/>
          <w:i/>
          <w:sz w:val="24"/>
          <w:szCs w:val="24"/>
        </w:rPr>
        <w:t>Forrás:</w:t>
      </w:r>
      <w:r w:rsidRPr="00DF7BA1">
        <w:rPr>
          <w:rFonts w:ascii="Times New Roman" w:hAnsi="Times New Roman" w:cs="Times New Roman"/>
          <w:sz w:val="24"/>
          <w:szCs w:val="24"/>
        </w:rPr>
        <w:t xml:space="preserve"> saját szerkesztés</w:t>
      </w:r>
      <w:r w:rsidR="00DF7BA1">
        <w:rPr>
          <w:rFonts w:ascii="Times New Roman" w:hAnsi="Times New Roman" w:cs="Times New Roman"/>
          <w:sz w:val="24"/>
          <w:szCs w:val="24"/>
        </w:rPr>
        <w:t>.</w:t>
      </w:r>
    </w:p>
    <w:p w14:paraId="74955976" w14:textId="77777777" w:rsidR="00E16C00" w:rsidRDefault="00E16C00" w:rsidP="00E7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5F948" w14:textId="77777777" w:rsidR="00E754FA" w:rsidRDefault="00DF47AE" w:rsidP="00E7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2.sz. ábrán jól látható, hogy az üzleti modell egy sokváltozós konstrukció, mely az üzleti tevékenységek folytatásához meglehetősen széles keretet nyújt. Az üzleti modellezés egyik legismertebb keret</w:t>
      </w:r>
      <w:r w:rsidR="005F4FCB">
        <w:rPr>
          <w:rFonts w:ascii="Times New Roman" w:hAnsi="Times New Roman" w:cs="Times New Roman"/>
          <w:sz w:val="24"/>
          <w:szCs w:val="24"/>
        </w:rPr>
        <w:t xml:space="preserve">ét </w:t>
      </w:r>
      <w:proofErr w:type="spellStart"/>
      <w:r w:rsidR="005F4FCB">
        <w:rPr>
          <w:rFonts w:ascii="Times New Roman" w:hAnsi="Times New Roman" w:cs="Times New Roman"/>
          <w:sz w:val="24"/>
          <w:szCs w:val="24"/>
        </w:rPr>
        <w:t>Osterwalder</w:t>
      </w:r>
      <w:proofErr w:type="spellEnd"/>
      <w:r w:rsidR="005F4FCB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5F4FCB">
        <w:rPr>
          <w:rFonts w:ascii="Times New Roman" w:hAnsi="Times New Roman" w:cs="Times New Roman"/>
          <w:sz w:val="24"/>
          <w:szCs w:val="24"/>
        </w:rPr>
        <w:t>Pigneur</w:t>
      </w:r>
      <w:proofErr w:type="spellEnd"/>
      <w:r w:rsidR="005F4FCB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definiálta </w:t>
      </w:r>
      <w:proofErr w:type="spellStart"/>
      <w:r w:rsidRPr="00B5554B">
        <w:rPr>
          <w:rFonts w:ascii="Times New Roman" w:hAnsi="Times New Roman" w:cs="Times New Roman"/>
          <w:b/>
          <w:sz w:val="24"/>
          <w:szCs w:val="24"/>
        </w:rPr>
        <w:t>Canvas</w:t>
      </w:r>
      <w:proofErr w:type="spellEnd"/>
      <w:r w:rsidRPr="00B5554B">
        <w:rPr>
          <w:rFonts w:ascii="Times New Roman" w:hAnsi="Times New Roman" w:cs="Times New Roman"/>
          <w:b/>
          <w:sz w:val="24"/>
          <w:szCs w:val="24"/>
        </w:rPr>
        <w:t xml:space="preserve"> néven</w:t>
      </w:r>
      <w:r>
        <w:rPr>
          <w:rFonts w:ascii="Times New Roman" w:hAnsi="Times New Roman" w:cs="Times New Roman"/>
          <w:sz w:val="24"/>
          <w:szCs w:val="24"/>
        </w:rPr>
        <w:t>, mely a fentiekben összegzett változókkal, áttekinthető módon valósítja meg az üzleti modell vizualizálását (3.sz. ábra).</w:t>
      </w:r>
    </w:p>
    <w:p w14:paraId="34890AE9" w14:textId="77777777" w:rsidR="00DF47AE" w:rsidRPr="00DF7BA1" w:rsidRDefault="00DF47AE" w:rsidP="00DF4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BA1">
        <w:rPr>
          <w:rFonts w:ascii="Times New Roman" w:hAnsi="Times New Roman" w:cs="Times New Roman"/>
          <w:b/>
          <w:i/>
          <w:sz w:val="24"/>
          <w:szCs w:val="24"/>
        </w:rPr>
        <w:t>3.sz. ábra</w:t>
      </w:r>
      <w:r w:rsidRPr="00DF7BA1">
        <w:rPr>
          <w:rFonts w:ascii="Times New Roman" w:hAnsi="Times New Roman" w:cs="Times New Roman"/>
          <w:b/>
          <w:sz w:val="24"/>
          <w:szCs w:val="24"/>
        </w:rPr>
        <w:t xml:space="preserve">: A </w:t>
      </w:r>
      <w:proofErr w:type="spellStart"/>
      <w:r w:rsidRPr="00DF7BA1">
        <w:rPr>
          <w:rFonts w:ascii="Times New Roman" w:hAnsi="Times New Roman" w:cs="Times New Roman"/>
          <w:b/>
          <w:sz w:val="24"/>
          <w:szCs w:val="24"/>
        </w:rPr>
        <w:t>Canvas</w:t>
      </w:r>
      <w:proofErr w:type="spellEnd"/>
      <w:r w:rsidRPr="00DF7BA1">
        <w:rPr>
          <w:rFonts w:ascii="Times New Roman" w:hAnsi="Times New Roman" w:cs="Times New Roman"/>
          <w:b/>
          <w:sz w:val="24"/>
          <w:szCs w:val="24"/>
        </w:rPr>
        <w:t xml:space="preserve"> modell keretrendszere</w:t>
      </w:r>
    </w:p>
    <w:p w14:paraId="087458A0" w14:textId="77777777" w:rsidR="00DF47AE" w:rsidRDefault="00DF47AE" w:rsidP="00E7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5E40BF9" wp14:editId="78AC4877">
            <wp:extent cx="5651802" cy="2858772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10" cy="28611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78ACA4" w14:textId="77777777" w:rsidR="00DF47AE" w:rsidRDefault="00DF47AE" w:rsidP="00DF7BA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F7BA1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Osterwalder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Pigneur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 46.o.</w:t>
      </w:r>
    </w:p>
    <w:p w14:paraId="1A840A77" w14:textId="77777777" w:rsidR="00DF47AE" w:rsidRDefault="00DF47AE" w:rsidP="00E7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922682" w14:textId="77777777" w:rsidR="005F4FCB" w:rsidRDefault="005F4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DC3AAB" w14:textId="77777777" w:rsidR="00DF47AE" w:rsidRDefault="00DF47AE" w:rsidP="00E75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modell „vászon” kilenc, összefüggő terület mentén javasolja az üzleti </w:t>
      </w:r>
      <w:r w:rsidR="005F4FCB">
        <w:rPr>
          <w:rFonts w:ascii="Times New Roman" w:hAnsi="Times New Roman" w:cs="Times New Roman"/>
          <w:b/>
          <w:sz w:val="24"/>
          <w:szCs w:val="24"/>
        </w:rPr>
        <w:t>modell átgondolását/fejlesztését</w:t>
      </w:r>
      <w:r w:rsidR="005F4FCB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EC38C1B" w14:textId="77777777" w:rsidR="00DF47AE" w:rsidRDefault="00DF47AE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Ügyfélcsoportok</w:t>
      </w:r>
      <w:r>
        <w:rPr>
          <w:rFonts w:ascii="Times New Roman" w:hAnsi="Times New Roman" w:cs="Times New Roman"/>
          <w:sz w:val="24"/>
          <w:szCs w:val="24"/>
        </w:rPr>
        <w:t>: A szervezet egy, vagy több ügyfélcsoportot szolgál ki</w:t>
      </w:r>
      <w:r w:rsidR="00B5554B">
        <w:rPr>
          <w:rFonts w:ascii="Times New Roman" w:hAnsi="Times New Roman" w:cs="Times New Roman"/>
          <w:sz w:val="24"/>
          <w:szCs w:val="24"/>
        </w:rPr>
        <w:t>.</w:t>
      </w:r>
    </w:p>
    <w:p w14:paraId="2EE2EDC8" w14:textId="77777777" w:rsidR="00DF47AE" w:rsidRDefault="00DF47AE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Értékajánlat</w:t>
      </w:r>
      <w:r>
        <w:rPr>
          <w:rFonts w:ascii="Times New Roman" w:hAnsi="Times New Roman" w:cs="Times New Roman"/>
          <w:sz w:val="24"/>
          <w:szCs w:val="24"/>
        </w:rPr>
        <w:t>: Megoldást kínál az ügyfél valamely problémájára, és egyben ki is elégíti igényeit azáltal, hogy értéket kínál neki.</w:t>
      </w:r>
    </w:p>
    <w:p w14:paraId="52C8E2CE" w14:textId="77777777" w:rsidR="00DF47AE" w:rsidRDefault="00DF47AE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Csatornák</w:t>
      </w:r>
      <w:r>
        <w:rPr>
          <w:rFonts w:ascii="Times New Roman" w:hAnsi="Times New Roman" w:cs="Times New Roman"/>
          <w:sz w:val="24"/>
          <w:szCs w:val="24"/>
        </w:rPr>
        <w:t>: Az az út, amelyen keresztül a termék/szolgáltatás eljut az ügyfélhez. Ide tartozik a vállalati kommunikáció, a terjesztés és a kereskedelem.</w:t>
      </w:r>
    </w:p>
    <w:p w14:paraId="7FB1C7CF" w14:textId="77777777" w:rsidR="00DF47AE" w:rsidRDefault="00DF47AE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Ügyfélkapcsolatok</w:t>
      </w:r>
      <w:r w:rsidR="00B5554B">
        <w:rPr>
          <w:rFonts w:ascii="Times New Roman" w:hAnsi="Times New Roman" w:cs="Times New Roman"/>
          <w:sz w:val="24"/>
          <w:szCs w:val="24"/>
        </w:rPr>
        <w:t>: Ü</w:t>
      </w:r>
      <w:r>
        <w:rPr>
          <w:rFonts w:ascii="Times New Roman" w:hAnsi="Times New Roman" w:cs="Times New Roman"/>
          <w:sz w:val="24"/>
          <w:szCs w:val="24"/>
        </w:rPr>
        <w:t>gyfélkapcsolatokat alakít ki és tart fenn.</w:t>
      </w:r>
    </w:p>
    <w:p w14:paraId="624B3B45" w14:textId="77777777" w:rsidR="00DF47AE" w:rsidRDefault="00DF47AE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Bevételek</w:t>
      </w:r>
      <w:r w:rsidR="00B5554B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z ügyfeleknek értékesített termékből, szolgáltatásból származó bevétel.</w:t>
      </w:r>
    </w:p>
    <w:p w14:paraId="7B2DB5A2" w14:textId="77777777" w:rsidR="005F4FCB" w:rsidRDefault="005F4FCB" w:rsidP="005F4FC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Kiemelt tevékenységek</w:t>
      </w:r>
      <w:r>
        <w:rPr>
          <w:rFonts w:ascii="Times New Roman" w:hAnsi="Times New Roman" w:cs="Times New Roman"/>
          <w:sz w:val="24"/>
          <w:szCs w:val="24"/>
        </w:rPr>
        <w:t>: A termékek vagy szolgáltatások nyújtásához szükséges kiemelt tevékenységek.</w:t>
      </w:r>
    </w:p>
    <w:p w14:paraId="239DF373" w14:textId="77777777" w:rsidR="00DF47AE" w:rsidRDefault="00DF47AE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Kiemelt erőforrások</w:t>
      </w:r>
      <w:r w:rsidR="00B5554B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zok az eszközök, a</w:t>
      </w:r>
      <w:r w:rsidR="00BF434A">
        <w:rPr>
          <w:rFonts w:ascii="Times New Roman" w:hAnsi="Times New Roman" w:cs="Times New Roman"/>
          <w:sz w:val="24"/>
          <w:szCs w:val="24"/>
        </w:rPr>
        <w:t>melyek szükségesek az előbb leír</w:t>
      </w:r>
      <w:r>
        <w:rPr>
          <w:rFonts w:ascii="Times New Roman" w:hAnsi="Times New Roman" w:cs="Times New Roman"/>
          <w:sz w:val="24"/>
          <w:szCs w:val="24"/>
        </w:rPr>
        <w:t>t elemek felajánlásához és kivitelezéséhez.</w:t>
      </w:r>
    </w:p>
    <w:p w14:paraId="7D915652" w14:textId="77777777" w:rsidR="00BF434A" w:rsidRDefault="00BF434A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Kiemelt partnerek</w:t>
      </w:r>
      <w:r w:rsidR="005F4FCB">
        <w:rPr>
          <w:rFonts w:ascii="Times New Roman" w:hAnsi="Times New Roman" w:cs="Times New Roman"/>
          <w:sz w:val="24"/>
          <w:szCs w:val="24"/>
        </w:rPr>
        <w:t>: E</w:t>
      </w:r>
      <w:r>
        <w:rPr>
          <w:rFonts w:ascii="Times New Roman" w:hAnsi="Times New Roman" w:cs="Times New Roman"/>
          <w:sz w:val="24"/>
          <w:szCs w:val="24"/>
        </w:rPr>
        <w:t>gyes tevékenységeket külsős cégek végeznek, néhány erőforrást pedig a cégen kívülről szerzünk be.</w:t>
      </w:r>
    </w:p>
    <w:p w14:paraId="4BA975EF" w14:textId="77777777" w:rsidR="00BF434A" w:rsidRDefault="00BF434A" w:rsidP="00DF47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4B">
        <w:rPr>
          <w:rFonts w:ascii="Times New Roman" w:hAnsi="Times New Roman" w:cs="Times New Roman"/>
          <w:b/>
          <w:sz w:val="24"/>
          <w:szCs w:val="24"/>
        </w:rPr>
        <w:t>Költségszerkezet</w:t>
      </w:r>
      <w:r w:rsidR="005F4FCB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>z üzleti modell működtetése során felmerülő költségeket mutatja.</w:t>
      </w:r>
    </w:p>
    <w:p w14:paraId="3F1E2C43" w14:textId="77777777" w:rsidR="00BF434A" w:rsidRDefault="00BF434A" w:rsidP="00BF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4E966" w14:textId="77777777" w:rsidR="00BF434A" w:rsidRDefault="00BF434A" w:rsidP="00BF4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üzleti modellezés lényeges, ám önállóan kevéssé értelmezhető területe a stratégiai menedzsmentnek. Egyrészt segít megragadhatóvá, kiaknázha</w:t>
      </w:r>
      <w:r w:rsidR="005F4FCB">
        <w:rPr>
          <w:rFonts w:ascii="Times New Roman" w:hAnsi="Times New Roman" w:cs="Times New Roman"/>
          <w:sz w:val="24"/>
          <w:szCs w:val="24"/>
        </w:rPr>
        <w:t>tóvá tenni az üzleti stratégiát. A</w:t>
      </w:r>
      <w:r>
        <w:rPr>
          <w:rFonts w:ascii="Times New Roman" w:hAnsi="Times New Roman" w:cs="Times New Roman"/>
          <w:sz w:val="24"/>
          <w:szCs w:val="24"/>
        </w:rPr>
        <w:t>z üzleti stratégia által nyújtott üzleti lehetőségeket teszi feldolgozhatóvá. Más oldalról ugyanakkor arra önállóan nem nyújt választ, hogy az üzleti modell elemei hogyan épülnek/hogyan épüljenek be a szervezeti teljesítménybe, így hogyan váljanak monitorozhatóvá és menedzselhetővé.</w:t>
      </w:r>
    </w:p>
    <w:p w14:paraId="02CAA67B" w14:textId="77777777" w:rsidR="00332249" w:rsidRP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1678B" w14:textId="77777777" w:rsidR="00332249" w:rsidRP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E1571" w14:textId="77777777" w:rsidR="00332249" w:rsidRP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2249">
        <w:rPr>
          <w:rFonts w:ascii="Times New Roman" w:hAnsi="Times New Roman" w:cs="Times New Roman"/>
          <w:b/>
          <w:sz w:val="24"/>
          <w:szCs w:val="24"/>
        </w:rPr>
        <w:t>A témakör feldolgozásához ajánlott irodalom:</w:t>
      </w:r>
    </w:p>
    <w:p w14:paraId="0F1967A5" w14:textId="77777777" w:rsidR="00332249" w:rsidRP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A9E561" w14:textId="77777777" w:rsidR="00332249" w:rsidRPr="00332249" w:rsidRDefault="00332249" w:rsidP="00332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249">
        <w:rPr>
          <w:rFonts w:ascii="Times New Roman" w:hAnsi="Times New Roman" w:cs="Times New Roman"/>
          <w:sz w:val="24"/>
          <w:szCs w:val="24"/>
        </w:rPr>
        <w:t>Barakonyi, K. (2008): Üzleti Modellek, Vezetéstudomány, XXXIX. évf. 5.sz. 2-14.o.</w:t>
      </w:r>
    </w:p>
    <w:p w14:paraId="7CD19C2B" w14:textId="77777777" w:rsidR="00332249" w:rsidRPr="00332249" w:rsidRDefault="00332249" w:rsidP="00332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249">
        <w:rPr>
          <w:rFonts w:ascii="Times New Roman" w:hAnsi="Times New Roman" w:cs="Times New Roman"/>
          <w:sz w:val="24"/>
          <w:szCs w:val="24"/>
        </w:rPr>
        <w:t xml:space="preserve">Móricz, P. (2009): Élenjáró magyarországi internetes vállalkozások fejlődése az üzleti modell nézőpontjából, </w:t>
      </w:r>
      <w:proofErr w:type="spellStart"/>
      <w:r w:rsidRPr="0033224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332249">
        <w:rPr>
          <w:rFonts w:ascii="Times New Roman" w:hAnsi="Times New Roman" w:cs="Times New Roman"/>
          <w:sz w:val="24"/>
          <w:szCs w:val="24"/>
        </w:rPr>
        <w:t>. értekezés, BCE Gazdálkodástani Doktori Iskola, Budapest</w:t>
      </w:r>
    </w:p>
    <w:p w14:paraId="106106F9" w14:textId="77777777" w:rsidR="00332249" w:rsidRPr="00332249" w:rsidRDefault="00332249" w:rsidP="00332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249">
        <w:rPr>
          <w:rFonts w:ascii="Times New Roman" w:hAnsi="Times New Roman" w:cs="Times New Roman"/>
          <w:sz w:val="24"/>
          <w:szCs w:val="24"/>
        </w:rPr>
        <w:t>Osterwalder</w:t>
      </w:r>
      <w:proofErr w:type="spellEnd"/>
      <w:r w:rsidRPr="00332249">
        <w:rPr>
          <w:rFonts w:ascii="Times New Roman" w:hAnsi="Times New Roman" w:cs="Times New Roman"/>
          <w:sz w:val="24"/>
          <w:szCs w:val="24"/>
        </w:rPr>
        <w:t xml:space="preserve">, A. – </w:t>
      </w:r>
      <w:proofErr w:type="spellStart"/>
      <w:r w:rsidRPr="00332249">
        <w:rPr>
          <w:rFonts w:ascii="Times New Roman" w:hAnsi="Times New Roman" w:cs="Times New Roman"/>
          <w:sz w:val="24"/>
          <w:szCs w:val="24"/>
        </w:rPr>
        <w:t>Pigneur</w:t>
      </w:r>
      <w:proofErr w:type="spellEnd"/>
      <w:r w:rsidRPr="00332249">
        <w:rPr>
          <w:rFonts w:ascii="Times New Roman" w:hAnsi="Times New Roman" w:cs="Times New Roman"/>
          <w:sz w:val="24"/>
          <w:szCs w:val="24"/>
        </w:rPr>
        <w:t>, Y (2012): Üzletimodell-építés kézikönyve, CSER Kiadó, Budapest</w:t>
      </w:r>
    </w:p>
    <w:p w14:paraId="755540EA" w14:textId="77777777" w:rsidR="00332249" w:rsidRPr="00332249" w:rsidRDefault="00332249" w:rsidP="0033224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249">
        <w:rPr>
          <w:rFonts w:ascii="Times New Roman" w:hAnsi="Times New Roman" w:cs="Times New Roman"/>
          <w:sz w:val="24"/>
          <w:szCs w:val="24"/>
        </w:rPr>
        <w:t>Schmuck</w:t>
      </w:r>
      <w:proofErr w:type="spellEnd"/>
      <w:r w:rsidRPr="00332249">
        <w:rPr>
          <w:rFonts w:ascii="Times New Roman" w:hAnsi="Times New Roman" w:cs="Times New Roman"/>
          <w:sz w:val="24"/>
          <w:szCs w:val="24"/>
        </w:rPr>
        <w:t>, R. (2015): Online üzleti modellek, PTE Gazdálkodástani Doktori Iskola, Pécs</w:t>
      </w:r>
    </w:p>
    <w:p w14:paraId="62A855A1" w14:textId="77777777" w:rsidR="00CD3E62" w:rsidRPr="00332249" w:rsidRDefault="00CD3E62" w:rsidP="0033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E9EECE" w14:textId="77777777" w:rsidR="00CD3E62" w:rsidRDefault="00CD3E62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B559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E518C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B58B4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E6B9FF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A45DA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D68A58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63D1F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E37826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8511E3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C0143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995256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F895C5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9668F4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52FEF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CBA37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0BA60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4AF26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415698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3D983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DC5DB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0326BF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F21FE3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BE31A4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322D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B7549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2F29D4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6483F9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78A12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8D199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DAB2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AF4F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3A73A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E34890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3BD1D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5AE496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0053C9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9B4B9E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B0C124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EE6CA0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CA1B34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27501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F7C69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481D8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55E9B2" w14:textId="77777777" w:rsid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F354A3" w14:textId="77777777" w:rsidR="00332249" w:rsidRP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02DE89" w14:textId="77777777" w:rsidR="00CD3E62" w:rsidRPr="00332249" w:rsidRDefault="00332249" w:rsidP="003322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464E47C" wp14:editId="2D9E2836">
            <wp:extent cx="5760720" cy="324322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00836" w14:textId="77777777" w:rsidR="00CD3E62" w:rsidRDefault="00CD3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EE7BC4E" w14:textId="77777777" w:rsidR="00CD3E62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B30017D" w14:textId="77777777" w:rsidR="00CD3E62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BB5DA46" w14:textId="77777777" w:rsidR="00CD3E62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2A837C4F" w14:textId="77777777" w:rsidR="00CD3E62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144A41D" w14:textId="77777777" w:rsidR="00CD3E62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158B5F8" w14:textId="77777777" w:rsidR="00CD3E62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3499EDF" w14:textId="76573C5B" w:rsidR="00CD3E62" w:rsidRPr="00DF7BA1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60"/>
        </w:rPr>
      </w:pPr>
      <w:r w:rsidRPr="00DF7BA1">
        <w:rPr>
          <w:rFonts w:ascii="Times New Roman" w:hAnsi="Times New Roman" w:cs="Times New Roman"/>
          <w:b/>
          <w:caps/>
          <w:sz w:val="36"/>
          <w:szCs w:val="60"/>
        </w:rPr>
        <w:t xml:space="preserve">Melléklet: </w:t>
      </w:r>
    </w:p>
    <w:p w14:paraId="0BB36EF7" w14:textId="77777777" w:rsidR="00DF7BA1" w:rsidRPr="00DF7BA1" w:rsidRDefault="00DF7BA1" w:rsidP="00CD3E62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60"/>
        </w:rPr>
      </w:pPr>
    </w:p>
    <w:p w14:paraId="36BB7F12" w14:textId="77777777" w:rsidR="00CD3E62" w:rsidRPr="00DF7BA1" w:rsidRDefault="00CD3E62" w:rsidP="00CD3E62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60"/>
        </w:rPr>
      </w:pPr>
      <w:r w:rsidRPr="00DF7BA1">
        <w:rPr>
          <w:rFonts w:ascii="Times New Roman" w:hAnsi="Times New Roman" w:cs="Times New Roman"/>
          <w:caps/>
          <w:sz w:val="36"/>
          <w:szCs w:val="60"/>
        </w:rPr>
        <w:t>Gyakorta alkalmazott üzleti modellek összegzése</w:t>
      </w:r>
    </w:p>
    <w:p w14:paraId="5206A543" w14:textId="77777777" w:rsidR="00CD3E62" w:rsidRDefault="00CD3E62">
      <w:pPr>
        <w:rPr>
          <w:rFonts w:ascii="Times New Roman" w:hAnsi="Times New Roman" w:cs="Times New Roman"/>
          <w:sz w:val="60"/>
          <w:szCs w:val="60"/>
        </w:rPr>
      </w:pPr>
      <w:r>
        <w:rPr>
          <w:rFonts w:ascii="Times New Roman" w:hAnsi="Times New Roman" w:cs="Times New Roman"/>
          <w:sz w:val="60"/>
          <w:szCs w:val="60"/>
        </w:rPr>
        <w:br w:type="page"/>
      </w:r>
    </w:p>
    <w:p w14:paraId="63FEDF5E" w14:textId="77777777" w:rsidR="00CD3E62" w:rsidRPr="00CF0A7E" w:rsidRDefault="00CD3E62" w:rsidP="00CD3E62">
      <w:pPr>
        <w:shd w:val="clear" w:color="auto" w:fill="C4BC96" w:themeFill="background2" w:themeFillShade="B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hu-HU"/>
        </w:rPr>
      </w:pPr>
      <w:r w:rsidRPr="00CF0A7E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hu-HU"/>
        </w:rPr>
        <w:lastRenderedPageBreak/>
        <w:t>Gyakori verbális üzleti modellek</w:t>
      </w:r>
    </w:p>
    <w:p w14:paraId="43CC05CB" w14:textId="77777777" w:rsidR="00CD3E62" w:rsidRPr="00524077" w:rsidRDefault="00CD3E62" w:rsidP="00CD3E6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hu-HU"/>
        </w:rPr>
      </w:pP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8"/>
        <w:gridCol w:w="1709"/>
        <w:gridCol w:w="5670"/>
      </w:tblGrid>
      <w:tr w:rsidR="00CD3E62" w:rsidRPr="00524077" w14:paraId="5D58456F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72520" w14:textId="77777777" w:rsidR="00CD3E62" w:rsidRPr="00524077" w:rsidRDefault="00CD3E62" w:rsidP="001F3B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  <w:t>Üzleti logika megnevezése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7F112" w14:textId="77777777" w:rsidR="00CD3E62" w:rsidRPr="00524077" w:rsidRDefault="00CD3E62" w:rsidP="001F3B10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hu-HU"/>
              </w:rPr>
              <w:t>Rövid összegzés</w:t>
            </w:r>
          </w:p>
        </w:tc>
      </w:tr>
      <w:tr w:rsidR="00CD3E62" w:rsidRPr="00524077" w14:paraId="78D20B0F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6CA3F2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Nyitott üzleti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A2E9D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Potenciális ügyfelek megfordulási helyszínén értékesítési hely létesítése. </w:t>
            </w:r>
          </w:p>
          <w:p w14:paraId="753B239C" w14:textId="77777777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pékség.</w:t>
            </w:r>
          </w:p>
        </w:tc>
      </w:tr>
      <w:tr w:rsidR="00CD3E62" w:rsidRPr="00524077" w14:paraId="4E98002C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CFF342A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Előfizetéses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D0AC2" w14:textId="77777777" w:rsidR="00B944F0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Periodikus értékesítés mellett ismételt szállítások (az igénybevételt megelőzően megtörténik az ellenérték megfizetése).</w:t>
            </w:r>
          </w:p>
          <w:p w14:paraId="5580F085" w14:textId="6A70B498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uszodabérlet, feltöltős telefon szolgáltatás.</w:t>
            </w:r>
          </w:p>
        </w:tc>
      </w:tr>
      <w:tr w:rsidR="00CD3E62" w:rsidRPr="00524077" w14:paraId="0D7803D7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4B7A5E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Csali és horog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22E95" w14:textId="21A20858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Az áru, a fogyasztás alapmodellje alacsony áron (gyakorta veszteséggel) kerül értékesítésre (mely a vásárlónak alacsony ráfordítást jelent), míg a rendszeres használat a vevő részéről további, rendszeres ráfordításokat igényel. </w:t>
            </w:r>
          </w:p>
          <w:p w14:paraId="62E1DA13" w14:textId="77777777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Gillette borotva; elektromos fogkefe.</w:t>
            </w:r>
          </w:p>
        </w:tc>
      </w:tr>
      <w:tr w:rsidR="00CD3E62" w:rsidRPr="00524077" w14:paraId="61BBA1F2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0380906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Piramiselvű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BF14AF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Véges számú populáció befizetései a befizetők egy részére kerülnek kifizetésre, folyamatos további befizetői kör bekapcsolása mellett.</w:t>
            </w:r>
          </w:p>
          <w:p w14:paraId="0D892776" w14:textId="77777777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Illegális modell.</w:t>
            </w:r>
          </w:p>
        </w:tc>
      </w:tr>
      <w:tr w:rsidR="00CD3E62" w:rsidRPr="00524077" w14:paraId="16187605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40B713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Multi-level</w:t>
            </w:r>
            <w:proofErr w:type="spellEnd"/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marketing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C3EE7" w14:textId="4F963533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Az értékesítés az értékesítők személyes, társas hálózatán keresztül történik. Az értékesítők saját értékesítésük és az általuk bekapcsolt értékesítők értékesítése után jutalékot kapnak. Az értékesítési hálózat ennek megfelelően hierarchizált, a hierarchián belüli rétegek száma a fél tucatot is elérheti.</w:t>
            </w:r>
          </w:p>
          <w:p w14:paraId="6FC5E614" w14:textId="5083CE0D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Amway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223C6394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744EE5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Monopólium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3800E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 piacon a kínálatot egyetlen szervezet tartja a kezében, kizárva ezzel a verseny létrejöttét. A monopólium szabályozza a kínálat mennyiségét, a termék/szolgáltatás árát és minőségét. Legálisnak akkor tekinthető, amennyiben állami szabályozás hozza létre.</w:t>
            </w:r>
          </w:p>
          <w:p w14:paraId="01548343" w14:textId="6B84B178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közösségi közlekedés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2D53F547" w14:textId="77777777" w:rsidTr="00DF7BA1">
        <w:trPr>
          <w:trHeight w:val="57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C4EE20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Közvetítő kiiktatása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FF9EE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Az üzleti modell úgy jön létre, hogy a szervezet kizárja/megkerüli az ellátási lánc egy, vagy több közbeeső láncszemét.</w:t>
            </w:r>
          </w:p>
          <w:p w14:paraId="63541FC7" w14:textId="5C99463F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saját termék internetes értékesítése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2BD633B7" w14:textId="77777777" w:rsidTr="00DF7BA1">
        <w:trPr>
          <w:trHeight w:val="442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5726C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Aukciós </w:t>
            </w: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3539A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Egyedi termék/szolgáltatás kikiáltás alapján történő értékesítése úgy, hogy a tulajdonjog a legmagasabb árat kínáló licitálóra szál.</w:t>
            </w:r>
          </w:p>
          <w:p w14:paraId="0B1B27E5" w14:textId="7F28D040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műkincsek értékesítése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502C743A" w14:textId="77777777" w:rsidTr="00DF7BA1">
        <w:trPr>
          <w:trHeight w:val="1710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38ABDCF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lastRenderedPageBreak/>
              <w:t>Szolgáltatás iparszerűvé tétele (felgyorsítás, teljesítménynövelés)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A08F3C" w14:textId="77777777" w:rsidR="00CD3E62" w:rsidRPr="00524077" w:rsidRDefault="00CD3E62" w:rsidP="00B944F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Egyedi szolgáltatások folyamatainak, tevékenységeinek szabványosítása, kontrollálása és irányítási feltételeinek megteremtése. Tömegszerű nyújtásuk széles körben történő elterjesztése.</w:t>
            </w:r>
          </w:p>
          <w:p w14:paraId="06A3ACE5" w14:textId="5BCA20A2" w:rsidR="00CD3E62" w:rsidRPr="00524077" w:rsidRDefault="00CD3E62" w:rsidP="001F3B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gyorséttermi hálózatok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23028034" w14:textId="77777777" w:rsidTr="00DF7BA1">
        <w:trPr>
          <w:trHeight w:val="442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473C743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Fapados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02848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Összetett termék/szolgáltatás esetén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koncentrálás a</w:t>
            </w: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termékmagot jelentő értékkonstrukcióra, radikálisan csökkentve mindezzel a termék/szolgáltatás árát, elérhetővé téve széles felhasználói rétegek számára.</w:t>
            </w:r>
          </w:p>
          <w:p w14:paraId="19065549" w14:textId="77777777" w:rsidR="00CD3E62" w:rsidRPr="00524077" w:rsidRDefault="00CD3E62" w:rsidP="001F3B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fapados légiközlekedés</w:t>
            </w:r>
          </w:p>
        </w:tc>
      </w:tr>
      <w:tr w:rsidR="00CD3E62" w:rsidRPr="00524077" w14:paraId="180FA445" w14:textId="77777777" w:rsidTr="00DF7BA1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1FD0496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Termék szolgáltatássá alakítása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A5C316" w14:textId="77777777" w:rsidR="00CD3E62" w:rsidRPr="00524077" w:rsidRDefault="00CD3E62" w:rsidP="001F3B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Termék értékkonstrukciójának kiegészítése egy/több szolgáltatás értékkonstrukciójával. A súlyok eltolásával, az értékkonstrukció gyökeres átalakításával az üzleti modell a terméket szolgáltatássá transzformálja.</w:t>
            </w:r>
          </w:p>
          <w:p w14:paraId="3C39FF9B" w14:textId="7452CA94" w:rsidR="00CD3E62" w:rsidRPr="00524077" w:rsidRDefault="00CD3E62" w:rsidP="00B944F0">
            <w:pPr>
              <w:spacing w:after="6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XEROX fénymásolási konstrukciója, TESLA autók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19451DBD" w14:textId="77777777" w:rsidTr="00DF7BA1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1D9F11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Hosszú farok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C2B44" w14:textId="586E1E90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Rétegigénnyel rendelkező, egységnyi idő alatt alacsony példányszámban eladható termékek extrém széles kínálatával rendkívül széles rétegek egyidejű kiszolgálása. Sikeres megvalósítása on-line környezetben gyakori.</w:t>
            </w:r>
          </w:p>
          <w:p w14:paraId="12C48C40" w14:textId="13976191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Gyakori példa: 2012-ben feladott LEGO DESIGN </w:t>
            </w:r>
            <w:proofErr w:type="spellStart"/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byME</w:t>
            </w:r>
            <w:proofErr w:type="spellEnd"/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projekt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1D38CE46" w14:textId="77777777" w:rsidTr="00DF7BA1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928EC4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Tégla és kattintás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BA409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Értékesítési logisztikával és elosztási csatornával bíró vállalkozások lehetővé teszik az on-line rendelést, a rendelő által megválasztott értékesítési helyen történő átvétellel.</w:t>
            </w:r>
          </w:p>
          <w:p w14:paraId="7250B4E6" w14:textId="3186B6B1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könyvkereskedelmi hálózatok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3F9FA7F1" w14:textId="77777777" w:rsidTr="00DF7BA1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4E0A81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On-line aukciós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5BDBE" w14:textId="77777777" w:rsidR="00CD3E62" w:rsidRPr="00524077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Aukciós modell on-line környezetbe helyezése, mind az egyedi termékek, mind a licitáló közösségek globalizálásával.</w:t>
            </w:r>
          </w:p>
          <w:p w14:paraId="297D1BC9" w14:textId="77777777" w:rsidR="00CD3E62" w:rsidRPr="00524077" w:rsidRDefault="00CD3E62" w:rsidP="001F3B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online aukciós oldalak</w:t>
            </w:r>
          </w:p>
        </w:tc>
      </w:tr>
      <w:tr w:rsidR="00CD3E62" w:rsidRPr="00524077" w14:paraId="5D0C79FC" w14:textId="77777777" w:rsidTr="00DF7BA1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FA8BAF" w14:textId="3DF80F82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Sokszereplős platform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CDAF30" w14:textId="77777777" w:rsidR="00CD3E62" w:rsidRDefault="00CD3E62" w:rsidP="001F3B10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 szervezet legalább két ügyfélcsoportot szolgál ki, ahol a szervezet által nyújtott értékkonstrukció értéktelenné válik a többi ügyfélcsoport jelenléte nélkül.</w:t>
            </w:r>
          </w:p>
          <w:p w14:paraId="75C68C97" w14:textId="181B74ED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játékkonzolok, online játékok konstrukciói (ügyfélcsoportok: játékosok, játékfejlesztők)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71D5B776" w14:textId="77777777" w:rsidTr="00B944F0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E69AE1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proofErr w:type="spellStart"/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Freemium</w:t>
            </w:r>
            <w:proofErr w:type="spellEnd"/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0605D" w14:textId="7077B5EE" w:rsidR="00CD3E62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Olyan sokszereplős platform modell, ahol a nyújtott értékkonstrukció legalább egy ügyfélcsoport számára ingyenesen elérhető (a fizetős igénybevevő valamennyi ügyfélcsoport ráfordítását megfizeti).</w:t>
            </w:r>
          </w:p>
          <w:p w14:paraId="260D9339" w14:textId="0C8D6DF6" w:rsidR="00CD3E62" w:rsidRPr="00524077" w:rsidRDefault="00CD3E62" w:rsidP="00B944F0">
            <w:pPr>
              <w:spacing w:after="6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ingyenes hirdető újságok (ügyfélcsoportok: hirdetők, olvasók); online telekommunikációs szolgáltatók (ügyfélcsoportok: prémium vevők, ingyenes felhasználók)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58702CE2" w14:textId="77777777" w:rsidTr="00B944F0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EEC2E31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lastRenderedPageBreak/>
              <w:t>Mindent egy helyen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B4DF40" w14:textId="77777777" w:rsidR="00CD3E62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Az iparágban elérhető megszokott lehetőségekhez képest extrém széles kínálat rendelkezésre bocsátása felgyorsítva a vásárlás folyamatát, csökkentve a vásárlás bizonytalanságát.</w:t>
            </w:r>
          </w:p>
          <w:p w14:paraId="76E55EBB" w14:textId="28C03396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Inshop.hu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191F262B" w14:textId="77777777" w:rsidTr="00B944F0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276CB2B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Bevonás, alkotás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5D0E23" w14:textId="2383A541" w:rsidR="00CD3E62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Az üzleti modell keretében az értékkonstrukció központi elemét jelenti a vásárló bevonása a termék alkotásába, kialakításába. Leggyakrabban sokszereplős platform megoldásával kombinált módon jelentkezik.</w:t>
            </w:r>
          </w:p>
          <w:p w14:paraId="46F3FC34" w14:textId="7087C453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lulu.com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CD3E62" w:rsidRPr="00524077" w14:paraId="7A33E395" w14:textId="77777777" w:rsidTr="00B944F0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0810D8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Testreszabás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B0469" w14:textId="77777777" w:rsidR="00CD3E62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 termelési/szolgáltatási rendszer kialakítása oly módon történik, hogy a vásárló egyedi igényeinek megfelelően válik lehetővé a termék/szolgáltatás termelése/megvalósítása. (Értékműhely, vagy értékhálózat architektúra fenntartását igényli).</w:t>
            </w:r>
          </w:p>
          <w:p w14:paraId="0D651719" w14:textId="08F8DB64" w:rsidR="00CD3E62" w:rsidRPr="00524077" w:rsidRDefault="00CD3E62" w:rsidP="00B944F0">
            <w:pPr>
              <w:spacing w:after="6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lemo.com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  <w:tr w:rsidR="00575774" w:rsidRPr="00524077" w14:paraId="3F1FC287" w14:textId="77777777" w:rsidTr="00575774">
        <w:trPr>
          <w:trHeight w:val="874"/>
        </w:trPr>
        <w:tc>
          <w:tcPr>
            <w:tcW w:w="17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3522B791" w14:textId="7B2992CC" w:rsidR="00575774" w:rsidRPr="00524077" w:rsidRDefault="00575774" w:rsidP="00575774">
            <w:pPr>
              <w:spacing w:after="0" w:line="240" w:lineRule="auto"/>
              <w:ind w:left="113" w:right="113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52407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Osztott modell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6AFFEE" w14:textId="21A9E68D" w:rsidR="00575774" w:rsidRPr="00524077" w:rsidRDefault="00575774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I</w:t>
            </w: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nfrastruktúra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</w:t>
            </w: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91CE3" w14:textId="77777777" w:rsidR="00575774" w:rsidRDefault="00575774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Adott piaci területen/iparágban a szervezet specializálódik adott termelés/szolgáltatás infrastruktúra menedzsmentjére és méretgazdaságos szolgáltatást nyújt az ügyfelekkel közvetlen kapcsolattal bíró szervezetek felé.</w:t>
            </w:r>
          </w:p>
          <w:p w14:paraId="4B05F89F" w14:textId="4E053B5B" w:rsidR="00575774" w:rsidRPr="00524077" w:rsidRDefault="00575774" w:rsidP="00B944F0">
            <w:pPr>
              <w:spacing w:after="6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Nokia Siemens Networks.</w:t>
            </w:r>
          </w:p>
        </w:tc>
      </w:tr>
      <w:tr w:rsidR="00575774" w:rsidRPr="00524077" w14:paraId="5243194B" w14:textId="77777777" w:rsidTr="00255E01">
        <w:trPr>
          <w:trHeight w:val="874"/>
        </w:trPr>
        <w:tc>
          <w:tcPr>
            <w:tcW w:w="170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CE1A912" w14:textId="31D1BE47" w:rsidR="00575774" w:rsidRPr="00524077" w:rsidRDefault="00575774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769BEB" w14:textId="567D7984" w:rsidR="00575774" w:rsidRPr="00524077" w:rsidRDefault="00575774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T</w:t>
            </w: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ermékfejlesztés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86F46" w14:textId="085BEBA6" w:rsidR="00575774" w:rsidRDefault="00575774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Adott piaci területen/iparágban/szegmensben a szervezet specializálódik a termékfejlesztés megvalósítására és bevezetésére, outputját az ügyfelekkel közvetlen kapcsolattal bíró vállalkozások rendelkezésére bocsátja.</w:t>
            </w:r>
          </w:p>
          <w:p w14:paraId="72E18F4B" w14:textId="496BFC4C" w:rsidR="00575774" w:rsidRPr="00524077" w:rsidRDefault="00575774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pénzügyi termékekre szakosodott vállalkozások.</w:t>
            </w:r>
          </w:p>
        </w:tc>
      </w:tr>
      <w:tr w:rsidR="00575774" w:rsidRPr="00524077" w14:paraId="68078CB6" w14:textId="77777777" w:rsidTr="00255E01">
        <w:trPr>
          <w:trHeight w:val="874"/>
        </w:trPr>
        <w:tc>
          <w:tcPr>
            <w:tcW w:w="17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D311A2" w14:textId="11F61E16" w:rsidR="00575774" w:rsidRPr="00524077" w:rsidRDefault="00575774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2E458F" w14:textId="29ECF295" w:rsidR="00575774" w:rsidRPr="00524077" w:rsidRDefault="00575774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Ü</w:t>
            </w: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gyfélkapcsolat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-</w:t>
            </w: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menedzsment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F6DB1" w14:textId="77777777" w:rsidR="00575774" w:rsidRDefault="00575774" w:rsidP="00B944F0">
            <w:pPr>
              <w:spacing w:before="60" w:after="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Adott piaci területen/iparágban/szegmensben a szervezet szakosodik az ügyfelek elérésére, az ügyfélkapcsolat ápolására, miközben a termelés/szolgáltatás infrastruktúráját, illetve a nyújtandó terméket/szolgáltatást nem maga biztosítja.</w:t>
            </w:r>
          </w:p>
          <w:p w14:paraId="23900B20" w14:textId="4EBAC3E7" w:rsidR="00575774" w:rsidRPr="00524077" w:rsidRDefault="00575774" w:rsidP="00B944F0">
            <w:pPr>
              <w:spacing w:after="60" w:line="240" w:lineRule="auto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mobil telekommunikáció.</w:t>
            </w:r>
          </w:p>
        </w:tc>
      </w:tr>
      <w:tr w:rsidR="00CD3E62" w:rsidRPr="00524077" w14:paraId="5EF2C4E1" w14:textId="77777777" w:rsidTr="00B944F0">
        <w:trPr>
          <w:trHeight w:val="874"/>
        </w:trPr>
        <w:tc>
          <w:tcPr>
            <w:tcW w:w="3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AE03E7" w14:textId="77777777" w:rsidR="00CD3E62" w:rsidRPr="008D5E4F" w:rsidRDefault="00CD3E62" w:rsidP="00DF7BA1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 w:rsidRPr="008D5E4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Nyílt üzleti modell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869F8" w14:textId="77777777" w:rsidR="00CD3E62" w:rsidRDefault="00CD3E62" w:rsidP="00B944F0">
            <w:pPr>
              <w:spacing w:before="6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Az értékkonstrukció alapjául szolgáló erőforrások változatos kombinációját engedi meg (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outside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) és/vagy a keletkező értéket változatos ügyfélcsoport számára értékesíti (</w:t>
            </w:r>
            <w:proofErr w:type="spellStart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inside</w:t>
            </w:r>
            <w:proofErr w:type="spellEnd"/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 xml:space="preserve"> out). (Elsősorban K+F orientált, innovatív területeken elterjedt, ahol a központi erőforrás immateriális.)</w:t>
            </w:r>
          </w:p>
          <w:p w14:paraId="636619A5" w14:textId="6DFA5C04" w:rsidR="00CD3E62" w:rsidRPr="00524077" w:rsidRDefault="00CD3E62" w:rsidP="00B944F0">
            <w:pPr>
              <w:spacing w:after="6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Gyakori példa: nyílt innovációs modell (nyílt forráskód alapú rendszerek használata); üzleti szabadalmi alapok</w:t>
            </w:r>
            <w:r w:rsidR="00B944F0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hu-HU"/>
              </w:rPr>
              <w:t>.</w:t>
            </w:r>
          </w:p>
        </w:tc>
      </w:tr>
    </w:tbl>
    <w:p w14:paraId="6753D6E7" w14:textId="42E5F756" w:rsidR="00514A50" w:rsidRDefault="00514A50" w:rsidP="00CD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E64FA" w14:textId="77777777" w:rsidR="00514A50" w:rsidRDefault="00514A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F37541" w14:textId="59849047" w:rsidR="00CD3E62" w:rsidRPr="00CD3E62" w:rsidRDefault="00514A50" w:rsidP="00CD3E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05A">
        <w:rPr>
          <w:noProof/>
          <w:lang w:eastAsia="hu-HU"/>
        </w:rPr>
        <w:lastRenderedPageBreak/>
        <w:drawing>
          <wp:inline distT="0" distB="0" distL="0" distR="0" wp14:anchorId="4D9FDC3E" wp14:editId="0D4B6AEA">
            <wp:extent cx="5760720" cy="3240405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3E62" w:rsidRPr="00CD3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EA67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EA6706" w16cid:durableId="1F4012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05B2" w14:textId="77777777" w:rsidR="001F25B1" w:rsidRDefault="001F25B1" w:rsidP="005F4FCB">
      <w:pPr>
        <w:spacing w:after="0" w:line="240" w:lineRule="auto"/>
      </w:pPr>
      <w:r>
        <w:separator/>
      </w:r>
    </w:p>
  </w:endnote>
  <w:endnote w:type="continuationSeparator" w:id="0">
    <w:p w14:paraId="279EF88A" w14:textId="77777777" w:rsidR="001F25B1" w:rsidRDefault="001F25B1" w:rsidP="005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F2F66A" w14:textId="77777777" w:rsidR="001F25B1" w:rsidRDefault="001F25B1" w:rsidP="005F4FCB">
      <w:pPr>
        <w:spacing w:after="0" w:line="240" w:lineRule="auto"/>
      </w:pPr>
      <w:r>
        <w:separator/>
      </w:r>
    </w:p>
  </w:footnote>
  <w:footnote w:type="continuationSeparator" w:id="0">
    <w:p w14:paraId="45D98541" w14:textId="77777777" w:rsidR="001F25B1" w:rsidRDefault="001F25B1" w:rsidP="005F4FCB">
      <w:pPr>
        <w:spacing w:after="0" w:line="240" w:lineRule="auto"/>
      </w:pPr>
      <w:r>
        <w:continuationSeparator/>
      </w:r>
    </w:p>
  </w:footnote>
  <w:footnote w:id="1">
    <w:p w14:paraId="6DF5FBB9" w14:textId="77777777" w:rsidR="005F4FCB" w:rsidRPr="005F4FCB" w:rsidRDefault="005F4FCB">
      <w:pPr>
        <w:pStyle w:val="Lbjegyzetszveg"/>
        <w:rPr>
          <w:rFonts w:ascii="Times New Roman" w:hAnsi="Times New Roman" w:cs="Times New Roman"/>
        </w:rPr>
      </w:pPr>
      <w:r w:rsidRPr="005F4FCB">
        <w:rPr>
          <w:rStyle w:val="Lbjegyzet-hivatkozs"/>
          <w:rFonts w:ascii="Times New Roman" w:hAnsi="Times New Roman" w:cs="Times New Roman"/>
        </w:rPr>
        <w:footnoteRef/>
      </w:r>
      <w:r w:rsidRPr="005F4F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Móricz, P.</w:t>
      </w:r>
      <w:r w:rsidRPr="005F4FCB">
        <w:rPr>
          <w:rFonts w:ascii="Times New Roman" w:hAnsi="Times New Roman" w:cs="Times New Roman"/>
        </w:rPr>
        <w:t>: Élenjáró magyarországi internetes vállalkozások fejlődése az üzleti modell nézőpontjából, Ph.D. értekezés, BCE Gazdálkodástani Doktori Iskola, Budapest</w:t>
      </w:r>
      <w:r>
        <w:rPr>
          <w:rFonts w:ascii="Times New Roman" w:hAnsi="Times New Roman" w:cs="Times New Roman"/>
        </w:rPr>
        <w:t>, 2009.</w:t>
      </w:r>
    </w:p>
  </w:footnote>
  <w:footnote w:id="2">
    <w:p w14:paraId="10C6E15F" w14:textId="77777777" w:rsidR="005F4FCB" w:rsidRPr="005F4FCB" w:rsidRDefault="005F4FCB">
      <w:pPr>
        <w:pStyle w:val="Lbjegyzetszveg"/>
        <w:rPr>
          <w:rFonts w:ascii="Times New Roman" w:hAnsi="Times New Roman" w:cs="Times New Roman"/>
        </w:rPr>
      </w:pPr>
      <w:r w:rsidRPr="005F4FCB">
        <w:rPr>
          <w:rStyle w:val="Lbjegyzet-hivatkozs"/>
          <w:rFonts w:ascii="Times New Roman" w:hAnsi="Times New Roman" w:cs="Times New Roman"/>
        </w:rPr>
        <w:footnoteRef/>
      </w:r>
      <w:r w:rsidRPr="005F4FCB">
        <w:rPr>
          <w:rFonts w:ascii="Times New Roman" w:hAnsi="Times New Roman" w:cs="Times New Roman"/>
        </w:rPr>
        <w:t xml:space="preserve"> Ost</w:t>
      </w:r>
      <w:r>
        <w:rPr>
          <w:rFonts w:ascii="Times New Roman" w:hAnsi="Times New Roman" w:cs="Times New Roman"/>
        </w:rPr>
        <w:t>erwalder, A. – Pigneur, Y</w:t>
      </w:r>
      <w:r w:rsidRPr="005F4FCB">
        <w:rPr>
          <w:rFonts w:ascii="Times New Roman" w:hAnsi="Times New Roman" w:cs="Times New Roman"/>
        </w:rPr>
        <w:t>: Üzletimodell-építés kézikönyve, CSER Kiadó, Budapest</w:t>
      </w:r>
      <w:r>
        <w:rPr>
          <w:rFonts w:ascii="Times New Roman" w:hAnsi="Times New Roman" w:cs="Times New Roman"/>
        </w:rPr>
        <w:t>, 2012.</w:t>
      </w:r>
    </w:p>
  </w:footnote>
  <w:footnote w:id="3">
    <w:p w14:paraId="38C0A20C" w14:textId="77777777" w:rsidR="005F4FCB" w:rsidRDefault="005F4FC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4FCB">
        <w:rPr>
          <w:rFonts w:ascii="Times New Roman" w:hAnsi="Times New Roman" w:cs="Times New Roman"/>
        </w:rPr>
        <w:t>Ost</w:t>
      </w:r>
      <w:r>
        <w:rPr>
          <w:rFonts w:ascii="Times New Roman" w:hAnsi="Times New Roman" w:cs="Times New Roman"/>
        </w:rPr>
        <w:t>erwalder, A. – Pigneur, Y</w:t>
      </w:r>
      <w:r w:rsidRPr="005F4FCB">
        <w:rPr>
          <w:rFonts w:ascii="Times New Roman" w:hAnsi="Times New Roman" w:cs="Times New Roman"/>
        </w:rPr>
        <w:t>: Üzletimodell-építés kézikönyve, CSER Kiadó, Budapest</w:t>
      </w:r>
      <w:r>
        <w:rPr>
          <w:rFonts w:ascii="Times New Roman" w:hAnsi="Times New Roman" w:cs="Times New Roman"/>
        </w:rPr>
        <w:t>, 2012. 18-19.o.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12F"/>
    <w:multiLevelType w:val="hybridMultilevel"/>
    <w:tmpl w:val="FA1C91B0"/>
    <w:lvl w:ilvl="0" w:tplc="0E88D4E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litta Kálmán">
    <w15:presenceInfo w15:providerId="Windows Live" w15:userId="288a042b4bade2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1"/>
    <w:rsid w:val="00191B88"/>
    <w:rsid w:val="001F25B1"/>
    <w:rsid w:val="00332249"/>
    <w:rsid w:val="004B5F61"/>
    <w:rsid w:val="00514A50"/>
    <w:rsid w:val="00575774"/>
    <w:rsid w:val="005F4FCB"/>
    <w:rsid w:val="007026B6"/>
    <w:rsid w:val="00711BC9"/>
    <w:rsid w:val="00714D7C"/>
    <w:rsid w:val="00A03A44"/>
    <w:rsid w:val="00A06D68"/>
    <w:rsid w:val="00B5554B"/>
    <w:rsid w:val="00B944F0"/>
    <w:rsid w:val="00BF434A"/>
    <w:rsid w:val="00C96C05"/>
    <w:rsid w:val="00CD3E62"/>
    <w:rsid w:val="00CF5B24"/>
    <w:rsid w:val="00DF47AE"/>
    <w:rsid w:val="00DF7BA1"/>
    <w:rsid w:val="00E16C00"/>
    <w:rsid w:val="00E47CD4"/>
    <w:rsid w:val="00E754FA"/>
    <w:rsid w:val="00FE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8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F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C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4F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4F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4FC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E5E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E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E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E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EBB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944F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944F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944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5F6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1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C00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F4FC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F4FC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F4FCB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FE5EB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E5EB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E5EB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5EB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E5EBB"/>
    <w:rPr>
      <w:b/>
      <w:bCs/>
      <w:sz w:val="20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B944F0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B944F0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B94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F7FE-B6A3-4A5D-949F-F7A53202D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1647</Words>
  <Characters>11369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Vilmanyi Marton</dc:creator>
  <cp:lastModifiedBy>Farkas Zsoka</cp:lastModifiedBy>
  <cp:revision>3</cp:revision>
  <dcterms:created xsi:type="dcterms:W3CDTF">2018-09-10T18:12:00Z</dcterms:created>
  <dcterms:modified xsi:type="dcterms:W3CDTF">2018-11-15T16:18:00Z</dcterms:modified>
</cp:coreProperties>
</file>