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4751" w14:textId="77777777" w:rsidR="00D35457" w:rsidRDefault="00D35457" w:rsidP="00D35457">
      <w:pPr>
        <w:rPr>
          <w:rFonts w:ascii="Times New Roman" w:hAnsi="Times New Roman" w:cs="Times New Roman"/>
          <w:sz w:val="32"/>
          <w:szCs w:val="32"/>
        </w:rPr>
      </w:pPr>
    </w:p>
    <w:p w14:paraId="24FECEDC" w14:textId="77777777" w:rsidR="00D35457" w:rsidRDefault="00D35457" w:rsidP="00D35457">
      <w:pPr>
        <w:rPr>
          <w:rFonts w:ascii="Times New Roman" w:hAnsi="Times New Roman" w:cs="Times New Roman"/>
          <w:sz w:val="32"/>
          <w:szCs w:val="32"/>
        </w:rPr>
      </w:pPr>
    </w:p>
    <w:p w14:paraId="5E529EFE" w14:textId="77777777" w:rsidR="00D35457" w:rsidRDefault="00D35457" w:rsidP="00D35457">
      <w:pPr>
        <w:rPr>
          <w:rFonts w:ascii="Times New Roman" w:hAnsi="Times New Roman" w:cs="Times New Roman"/>
          <w:sz w:val="32"/>
          <w:szCs w:val="32"/>
        </w:rPr>
      </w:pPr>
    </w:p>
    <w:p w14:paraId="22AA64A5" w14:textId="77777777" w:rsidR="00D35457" w:rsidRDefault="00D35457" w:rsidP="00D35457">
      <w:pPr>
        <w:rPr>
          <w:rFonts w:ascii="Times New Roman" w:hAnsi="Times New Roman" w:cs="Times New Roman"/>
          <w:sz w:val="32"/>
          <w:szCs w:val="32"/>
        </w:rPr>
      </w:pPr>
    </w:p>
    <w:p w14:paraId="7DE3D6C5" w14:textId="77777777" w:rsidR="00D35457" w:rsidRDefault="00D35457" w:rsidP="00D35457">
      <w:pPr>
        <w:rPr>
          <w:rFonts w:ascii="Times New Roman" w:hAnsi="Times New Roman" w:cs="Times New Roman"/>
          <w:sz w:val="32"/>
          <w:szCs w:val="32"/>
        </w:rPr>
      </w:pPr>
    </w:p>
    <w:p w14:paraId="28B332B0" w14:textId="77777777" w:rsidR="00D35457" w:rsidRPr="004B5F61" w:rsidRDefault="00DA7631" w:rsidP="00D354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Stratégiai döntések alapjai</w:t>
      </w:r>
    </w:p>
    <w:p w14:paraId="7DAC4BCC" w14:textId="77777777" w:rsidR="00D35457" w:rsidRDefault="00D35457" w:rsidP="00D354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55E4C459" w14:textId="71E27A6B" w:rsidR="00DA7631" w:rsidRDefault="00DA7631" w:rsidP="00F4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szervezeti stratégiák kialakítása és/vagy végrehajtása során óhatatlanul döntéseket kell hozzunk.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Stratégiai döntéseknek tekinthetők mindazon döntések, melyek következményei lényeges befolyással vannak a szervezet sikerességére.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 a szervezeti stratégiák kialakítását és/vagy végrehajtását számtalan, a visszacsatolást és a szerveze</w:t>
      </w:r>
      <w:r w:rsidR="00FF218E">
        <w:rPr>
          <w:rFonts w:ascii="Times New Roman" w:eastAsia="Times New Roman" w:hAnsi="Times New Roman" w:cs="Times New Roman"/>
          <w:sz w:val="24"/>
          <w:szCs w:val="24"/>
          <w:lang w:eastAsia="hu-HU"/>
        </w:rPr>
        <w:t>ti tanulást támogató megoldás támogatja, vagy támogathatja,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döntés pillanata minden esetben emberi. Bármilyen eszközzel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bármilyen racionális alappal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 dolgozzunk, nem lehet (és nem is érdemes) kiiktatni az emberi tapasztalat, megérzés, vagy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úgy tetszik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kreativitás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emberi innovativitás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értékalkotó jellegét. Amennyiben ugyanakkor a stratégiai menedzsment során a döntések emberi jellegét hangsúlyozzuk, úgy érdemes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kiindulópon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hu-HU"/>
        </w:rPr>
        <w:t>ként</w:t>
      </w:r>
      <w:proofErr w:type="spellEnd"/>
      <w:r w:rsidR="00F66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tekintenünk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stratégia-alkotás és megvalósítás kognitív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jellegét</w:t>
      </w:r>
      <w:r w:rsidR="00A845C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Ebből a nézőpontból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44D7242" w14:textId="77777777" w:rsidR="00236603" w:rsidRPr="00236603" w:rsidRDefault="00236603" w:rsidP="00236603">
      <w:pPr>
        <w:numPr>
          <w:ilvl w:val="0"/>
          <w:numId w:val="10"/>
        </w:numPr>
        <w:tabs>
          <w:tab w:val="clear" w:pos="720"/>
        </w:tabs>
        <w:kinsoku w:val="0"/>
        <w:overflowPunct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 xml:space="preserve">a stratégiaalkotás a „stratéga” </w:t>
      </w:r>
      <w:r w:rsidR="00FF218E" w:rsidRPr="00FF218E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(a szervezeti stratégiák kialakítását, végrehajtását irányító személy(</w:t>
      </w:r>
      <w:proofErr w:type="spellStart"/>
      <w:r w:rsidR="00FF218E" w:rsidRPr="00FF218E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ek</w:t>
      </w:r>
      <w:proofErr w:type="spellEnd"/>
      <w:r w:rsidR="00FF218E" w:rsidRPr="00FF218E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))</w:t>
      </w:r>
      <w:r w:rsidR="00FF218E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 xml:space="preserve"> </w:t>
      </w: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>tudatában létező megismerési folyamat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;</w:t>
      </w:r>
    </w:p>
    <w:p w14:paraId="6A252557" w14:textId="77777777" w:rsidR="00236603" w:rsidRPr="00236603" w:rsidRDefault="00236603" w:rsidP="00236603">
      <w:pPr>
        <w:numPr>
          <w:ilvl w:val="0"/>
          <w:numId w:val="10"/>
        </w:numPr>
        <w:tabs>
          <w:tab w:val="clear" w:pos="720"/>
        </w:tabs>
        <w:kinsoku w:val="0"/>
        <w:overflowPunct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>a stratégiák egy szemléleti keretként jelennek meg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: koncepciók, térképek, sémák, szemléleti keretek formájában – ezek alakítják ki azt a módot, ahogyan az emberek a környezetből érkező inputokkal bánnak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;</w:t>
      </w:r>
    </w:p>
    <w:p w14:paraId="2E1672DE" w14:textId="77777777" w:rsidR="00236603" w:rsidRPr="00236603" w:rsidRDefault="00236603" w:rsidP="00236603">
      <w:pPr>
        <w:numPr>
          <w:ilvl w:val="0"/>
          <w:numId w:val="10"/>
        </w:numPr>
        <w:tabs>
          <w:tab w:val="clear" w:pos="720"/>
        </w:tabs>
        <w:kinsoku w:val="0"/>
        <w:overflowPunct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 xml:space="preserve">a környezetből érkező inputok minden esetben egyfajta torzító szűrőn 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(a szemléleti kereten) </w:t>
      </w: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>áramlanak keresztül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. A Világ 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ebből következően 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attól függően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 létezik, hogy miképpen érzékelik;</w:t>
      </w:r>
    </w:p>
    <w:p w14:paraId="2E417695" w14:textId="77777777" w:rsidR="00236603" w:rsidRPr="00236603" w:rsidRDefault="00236603" w:rsidP="00236603">
      <w:pPr>
        <w:numPr>
          <w:ilvl w:val="0"/>
          <w:numId w:val="10"/>
        </w:numPr>
        <w:tabs>
          <w:tab w:val="clear" w:pos="720"/>
        </w:tabs>
        <w:kinsoku w:val="0"/>
        <w:overflowPunct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+mn-ea" w:hAnsi="Times New Roman" w:cs="+mn-cs"/>
          <w:b/>
          <w:kern w:val="24"/>
          <w:sz w:val="24"/>
          <w:szCs w:val="24"/>
          <w:lang w:eastAsia="hu-HU"/>
        </w:rPr>
        <w:t>a stratégiai döntések jelentősen elmaradnak az optimálistól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, és később, amikor </w:t>
      </w:r>
      <w:r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az eredmények 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 xml:space="preserve">már </w:t>
      </w:r>
      <w:r w:rsidR="00FF218E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rendelkezésre állnak</w:t>
      </w:r>
      <w:r w:rsidRPr="00236603">
        <w:rPr>
          <w:rFonts w:ascii="Times New Roman" w:eastAsia="+mn-ea" w:hAnsi="Times New Roman" w:cs="+mn-cs"/>
          <w:kern w:val="24"/>
          <w:sz w:val="24"/>
          <w:szCs w:val="24"/>
          <w:lang w:eastAsia="hu-HU"/>
        </w:rPr>
        <w:t>, nehéz rajtuk változtatni.</w:t>
      </w:r>
    </w:p>
    <w:p w14:paraId="206EF3FE" w14:textId="77777777" w:rsidR="00DA7631" w:rsidRDefault="00DA7631" w:rsidP="00F4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932426" w14:textId="77777777" w:rsidR="00F41989" w:rsidRDefault="00236603" w:rsidP="00F4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stratégiai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összetett jellegét azok jellemzői szemléltetik a leginkább</w:t>
      </w:r>
      <w:r w:rsidR="002C5C71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6DEAD95" w14:textId="77777777" w:rsidR="00236603" w:rsidRDefault="00236603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a jövőre vonatkoznak (nem pedig a könnyen megismerhető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operatív jelenre), így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információhiánnyal terheltek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7B5F690" w14:textId="77777777" w:rsidR="00236603" w:rsidRDefault="00236603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esetben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bizonytalan adatokra és információkra kell alapozzuk őket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AC0A617" w14:textId="77777777" w:rsidR="002F30A2" w:rsidRDefault="002F30A2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jövőnek minden esetben több forgatókönyve létezik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maximum valószínűségekkel jellemezhetők;</w:t>
      </w:r>
    </w:p>
    <w:p w14:paraId="0BB0878A" w14:textId="77777777" w:rsidR="00236603" w:rsidRDefault="00236603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stratégiai döntések során leggyakrabban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 célnak megfelelő döntést kell hozzunk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nem pedig egy célra optimalizált algoritmus alapján dolgozunk;</w:t>
      </w:r>
    </w:p>
    <w:p w14:paraId="0E4C820B" w14:textId="77777777" w:rsidR="00236603" w:rsidRDefault="002F30A2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jövőbeli sikerességet érintő döntések során nem csupán gazdasági célokat, hanem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legtöbb esetben gazdaságon 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(ha úgy tetszik a közvetlen üzleti érdekeken túli) </w:t>
      </w:r>
      <w:r w:rsidRPr="00BB5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célokat is mérlegelni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825895C" w14:textId="77777777" w:rsidR="002F30A2" w:rsidRPr="00236603" w:rsidRDefault="002F30A2" w:rsidP="002F30A2">
      <w:pPr>
        <w:pStyle w:val="Listaszerbekezds"/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stratégiai döntések minden esetben </w:t>
      </w:r>
      <w:r w:rsidRPr="00C81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sokszereplős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nem csupán egy szereplő kognitív szűrői, hanem több szereplő szemléleti keretei formálják párhuzamosan a döntéseket.</w:t>
      </w:r>
    </w:p>
    <w:p w14:paraId="43134C17" w14:textId="77777777" w:rsidR="00F41989" w:rsidRPr="00F41989" w:rsidRDefault="00F41989" w:rsidP="00F4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AD4A3" w14:textId="77777777" w:rsidR="002A65E5" w:rsidRDefault="002F30A2" w:rsidP="0011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stratégiai döntések fentiekben összefoglalt problémái a döntéshozatal folyamatának szakaszokra bontásával oldható</w:t>
      </w:r>
      <w:r w:rsidR="00FF218E">
        <w:rPr>
          <w:rFonts w:ascii="Times New Roman" w:hAnsi="Times New Roman" w:cs="Times New Roman"/>
          <w:sz w:val="24"/>
          <w:szCs w:val="24"/>
        </w:rPr>
        <w:t>ak</w:t>
      </w:r>
      <w:r w:rsidR="002C5C71">
        <w:rPr>
          <w:rFonts w:ascii="Times New Roman" w:hAnsi="Times New Roman" w:cs="Times New Roman"/>
          <w:sz w:val="24"/>
          <w:szCs w:val="24"/>
        </w:rPr>
        <w:t xml:space="preserve"> (1.sz. ábra)</w:t>
      </w:r>
      <w:r>
        <w:rPr>
          <w:rFonts w:ascii="Times New Roman" w:hAnsi="Times New Roman" w:cs="Times New Roman"/>
          <w:sz w:val="24"/>
          <w:szCs w:val="24"/>
        </w:rPr>
        <w:t>, megismerve a szereplőkben lejátszódó kognitív folyamat lépéseit, esetleges problémáit, rámutatva a fejlesztés lehetőségeire, a döntéshozatali anomáliák oldására.</w:t>
      </w:r>
    </w:p>
    <w:p w14:paraId="759C5996" w14:textId="77777777" w:rsidR="002F30A2" w:rsidRDefault="002F30A2" w:rsidP="0011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5D0AC" w14:textId="77777777" w:rsidR="00FF218E" w:rsidRPr="00FF218E" w:rsidRDefault="00FF218E" w:rsidP="00FF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8E">
        <w:rPr>
          <w:rFonts w:ascii="Times New Roman" w:hAnsi="Times New Roman" w:cs="Times New Roman"/>
          <w:b/>
          <w:sz w:val="24"/>
          <w:szCs w:val="24"/>
        </w:rPr>
        <w:tab/>
        <w:t>Stratégiai döntéshozatal</w:t>
      </w:r>
      <w:r w:rsidRPr="00FF218E">
        <w:rPr>
          <w:rFonts w:ascii="Times New Roman" w:hAnsi="Times New Roman" w:cs="Times New Roman"/>
          <w:b/>
          <w:sz w:val="24"/>
          <w:szCs w:val="24"/>
        </w:rPr>
        <w:tab/>
        <w:t>I. LÉPÉS</w:t>
      </w:r>
    </w:p>
    <w:p w14:paraId="67C30FA7" w14:textId="77777777" w:rsidR="00FF218E" w:rsidRDefault="00FF218E" w:rsidP="0011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6A36" w14:textId="77777777" w:rsidR="002F30A2" w:rsidRDefault="002F30A2" w:rsidP="0011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 xml:space="preserve">A döntéshozatal minden esetben a </w:t>
      </w:r>
      <w:proofErr w:type="spellStart"/>
      <w:r w:rsidRPr="00C8164F">
        <w:rPr>
          <w:rFonts w:ascii="Times New Roman" w:hAnsi="Times New Roman" w:cs="Times New Roman"/>
          <w:b/>
          <w:sz w:val="24"/>
          <w:szCs w:val="24"/>
        </w:rPr>
        <w:t>metadöntéssel</w:t>
      </w:r>
      <w:proofErr w:type="spellEnd"/>
      <w:r w:rsidRPr="00C8164F">
        <w:rPr>
          <w:rFonts w:ascii="Times New Roman" w:hAnsi="Times New Roman" w:cs="Times New Roman"/>
          <w:b/>
          <w:sz w:val="24"/>
          <w:szCs w:val="24"/>
        </w:rPr>
        <w:t xml:space="preserve"> kezdődik</w:t>
      </w:r>
      <w:r w:rsidR="002C5C7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metadöntés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keretében két egyszerű kérdésben hozunk minden esetben explicit, vagy implicit döntést: </w:t>
      </w:r>
      <w:r w:rsidRPr="00C8164F">
        <w:rPr>
          <w:rFonts w:ascii="Times New Roman" w:hAnsi="Times New Roman" w:cs="Times New Roman"/>
          <w:b/>
          <w:sz w:val="24"/>
          <w:szCs w:val="24"/>
        </w:rPr>
        <w:t xml:space="preserve">(1) mi a döntés </w:t>
      </w:r>
      <w:r w:rsidRPr="00C8164F">
        <w:rPr>
          <w:rFonts w:ascii="Times New Roman" w:hAnsi="Times New Roman" w:cs="Times New Roman"/>
          <w:b/>
          <w:sz w:val="24"/>
          <w:szCs w:val="24"/>
        </w:rPr>
        <w:lastRenderedPageBreak/>
        <w:t>tárgya</w:t>
      </w:r>
      <w:r w:rsidR="00CB0C8E" w:rsidRPr="00C8164F">
        <w:rPr>
          <w:rFonts w:ascii="Times New Roman" w:hAnsi="Times New Roman" w:cs="Times New Roman"/>
          <w:b/>
          <w:sz w:val="24"/>
          <w:szCs w:val="24"/>
        </w:rPr>
        <w:t>, azaz mi az a probléma, melyről a későbbiekben döntést fogunk hozni; (2) hogyan fog felépülni a döntéshozatali folyamat, és mik a mérföldkövei.</w:t>
      </w:r>
      <w:r w:rsidR="00CB0C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B0C8E">
        <w:rPr>
          <w:rFonts w:ascii="Times New Roman" w:hAnsi="Times New Roman" w:cs="Times New Roman"/>
          <w:sz w:val="24"/>
          <w:szCs w:val="24"/>
        </w:rPr>
        <w:t>metadöntés</w:t>
      </w:r>
      <w:proofErr w:type="spellEnd"/>
      <w:r w:rsidR="00CB0C8E">
        <w:rPr>
          <w:rFonts w:ascii="Times New Roman" w:hAnsi="Times New Roman" w:cs="Times New Roman"/>
          <w:sz w:val="24"/>
          <w:szCs w:val="24"/>
        </w:rPr>
        <w:t xml:space="preserve"> során, bármilyen egyszerűnek is tűnjön, számtalan csapda tarthatja fogva elménk (például </w:t>
      </w:r>
      <w:r w:rsidR="007D452E">
        <w:rPr>
          <w:rFonts w:ascii="Times New Roman" w:hAnsi="Times New Roman" w:cs="Times New Roman"/>
          <w:sz w:val="24"/>
          <w:szCs w:val="24"/>
        </w:rPr>
        <w:t>értékelési csapdák</w:t>
      </w:r>
      <w:r w:rsidR="00CB0C8E">
        <w:rPr>
          <w:rFonts w:ascii="Times New Roman" w:hAnsi="Times New Roman" w:cs="Times New Roman"/>
          <w:sz w:val="24"/>
          <w:szCs w:val="24"/>
        </w:rPr>
        <w:t xml:space="preserve">, vagy akár a szervezeti siker szem elől tévesztése). A </w:t>
      </w:r>
      <w:proofErr w:type="spellStart"/>
      <w:r w:rsidR="00CB0C8E">
        <w:rPr>
          <w:rFonts w:ascii="Times New Roman" w:hAnsi="Times New Roman" w:cs="Times New Roman"/>
          <w:sz w:val="24"/>
          <w:szCs w:val="24"/>
        </w:rPr>
        <w:t>metadöntés</w:t>
      </w:r>
      <w:proofErr w:type="spellEnd"/>
      <w:r w:rsidR="00CB0C8E">
        <w:rPr>
          <w:rFonts w:ascii="Times New Roman" w:hAnsi="Times New Roman" w:cs="Times New Roman"/>
          <w:sz w:val="24"/>
          <w:szCs w:val="24"/>
        </w:rPr>
        <w:t xml:space="preserve"> során éppen ezért sok esetben a döntéshozók figyelmét metaforákkal fókuszáljuk (így például háborús metafora, evolúciós metafora, vízesés metafora, stb.), mellyel kifejezzük a döntés jellegét és orientációját.</w:t>
      </w:r>
    </w:p>
    <w:p w14:paraId="45C36CB6" w14:textId="77777777" w:rsidR="00CB0C8E" w:rsidRDefault="00CB0C8E" w:rsidP="0011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6CD0" w14:textId="77777777" w:rsidR="00CB0C8E" w:rsidRPr="00495BD3" w:rsidRDefault="00CB0C8E" w:rsidP="00C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D3">
        <w:rPr>
          <w:rFonts w:ascii="Times New Roman" w:hAnsi="Times New Roman" w:cs="Times New Roman"/>
          <w:b/>
          <w:i/>
          <w:sz w:val="24"/>
          <w:szCs w:val="24"/>
        </w:rPr>
        <w:t>1.sz. ábra</w:t>
      </w:r>
      <w:r w:rsidRPr="00495BD3">
        <w:rPr>
          <w:rFonts w:ascii="Times New Roman" w:hAnsi="Times New Roman" w:cs="Times New Roman"/>
          <w:b/>
          <w:sz w:val="24"/>
          <w:szCs w:val="24"/>
        </w:rPr>
        <w:t>: A stratégiai döntések folyamata</w:t>
      </w:r>
    </w:p>
    <w:p w14:paraId="11115A95" w14:textId="77777777" w:rsidR="002F30A2" w:rsidRDefault="002F30A2" w:rsidP="002F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151853" wp14:editId="3B531BB1">
            <wp:extent cx="4155184" cy="305752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55" cy="3060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B2B6" w14:textId="77777777" w:rsidR="00CB0C8E" w:rsidRDefault="002C5C71" w:rsidP="0049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BD3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Barakonyi (1998)</w:t>
      </w:r>
    </w:p>
    <w:p w14:paraId="04F0CCE2" w14:textId="77777777" w:rsidR="00FF218E" w:rsidRDefault="00FF218E" w:rsidP="002F3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0A8A2" w14:textId="77777777" w:rsidR="00FF218E" w:rsidRPr="00FF218E" w:rsidRDefault="00FF218E" w:rsidP="00FF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8E">
        <w:rPr>
          <w:rFonts w:ascii="Times New Roman" w:hAnsi="Times New Roman" w:cs="Times New Roman"/>
          <w:b/>
          <w:sz w:val="24"/>
          <w:szCs w:val="24"/>
        </w:rPr>
        <w:tab/>
        <w:t>Stratégiai döntéshozatal</w:t>
      </w:r>
      <w:r w:rsidRPr="00FF218E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218E">
        <w:rPr>
          <w:rFonts w:ascii="Times New Roman" w:hAnsi="Times New Roman" w:cs="Times New Roman"/>
          <w:b/>
          <w:sz w:val="24"/>
          <w:szCs w:val="24"/>
        </w:rPr>
        <w:t>. LÉPÉS</w:t>
      </w:r>
    </w:p>
    <w:p w14:paraId="3F8220F9" w14:textId="77777777" w:rsidR="00FF218E" w:rsidRDefault="00FF218E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7CD4A" w14:textId="6104A171" w:rsidR="00CB0C8E" w:rsidRDefault="00CB0C8E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stratégiai döntések folyamatának </w:t>
      </w:r>
      <w:r w:rsidRPr="00C8164F">
        <w:rPr>
          <w:rFonts w:ascii="Times New Roman" w:hAnsi="Times New Roman" w:cs="Times New Roman"/>
          <w:b/>
          <w:sz w:val="24"/>
          <w:szCs w:val="24"/>
        </w:rPr>
        <w:t>második lépése a döntési keret kialakítása</w:t>
      </w:r>
      <w:r>
        <w:rPr>
          <w:rFonts w:ascii="Times New Roman" w:hAnsi="Times New Roman" w:cs="Times New Roman"/>
          <w:sz w:val="24"/>
          <w:szCs w:val="24"/>
        </w:rPr>
        <w:t xml:space="preserve">. A döntési keret kialakítása során határozzuk meg, hogy </w:t>
      </w:r>
      <w:r w:rsidRPr="00C8164F">
        <w:rPr>
          <w:rFonts w:ascii="Times New Roman" w:hAnsi="Times New Roman" w:cs="Times New Roman"/>
          <w:b/>
          <w:sz w:val="24"/>
          <w:szCs w:val="24"/>
        </w:rPr>
        <w:t xml:space="preserve">mely jellemzők figyelembevételével </w:t>
      </w:r>
      <w:r w:rsidR="002D3895" w:rsidRPr="00C8164F">
        <w:rPr>
          <w:rFonts w:ascii="Times New Roman" w:hAnsi="Times New Roman" w:cs="Times New Roman"/>
          <w:b/>
          <w:sz w:val="24"/>
          <w:szCs w:val="24"/>
        </w:rPr>
        <w:t>fogjuk meghozni döntésünket</w:t>
      </w:r>
      <w:r w:rsidR="002C5C7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  <w:r w:rsidR="002D3895" w:rsidRPr="00C8164F">
        <w:rPr>
          <w:rFonts w:ascii="Times New Roman" w:hAnsi="Times New Roman" w:cs="Times New Roman"/>
          <w:b/>
          <w:sz w:val="24"/>
          <w:szCs w:val="24"/>
        </w:rPr>
        <w:t>.</w:t>
      </w:r>
      <w:r w:rsidR="002D3895">
        <w:rPr>
          <w:rFonts w:ascii="Times New Roman" w:hAnsi="Times New Roman" w:cs="Times New Roman"/>
          <w:sz w:val="24"/>
          <w:szCs w:val="24"/>
        </w:rPr>
        <w:t xml:space="preserve"> Másként megfogalmazva ugyanezt, számba vesszük, milyen külső és belső tényezőket fogunk, vagy akarunk figyelembe venni a döntés meghozatala során. E lépés során is számtalan csapda ejtheti rabul gondolkodásunk (így például előítéletek, általános heurisztikák, iparági, ágazati szabályok). Ezek egy része nap mint nap az</w:t>
      </w:r>
      <w:r w:rsidR="002C5C71">
        <w:rPr>
          <w:rFonts w:ascii="Times New Roman" w:hAnsi="Times New Roman" w:cs="Times New Roman"/>
          <w:sz w:val="24"/>
          <w:szCs w:val="24"/>
        </w:rPr>
        <w:t xml:space="preserve"> operatív döntéshozatalt segíti. E tapasztalatok sok esetben a</w:t>
      </w:r>
      <w:r w:rsidR="002D3895">
        <w:rPr>
          <w:rFonts w:ascii="Times New Roman" w:hAnsi="Times New Roman" w:cs="Times New Roman"/>
          <w:sz w:val="24"/>
          <w:szCs w:val="24"/>
        </w:rPr>
        <w:t xml:space="preserve"> vezető értékességét növelik</w:t>
      </w:r>
      <w:r w:rsidR="002C5C71">
        <w:rPr>
          <w:rFonts w:ascii="Times New Roman" w:hAnsi="Times New Roman" w:cs="Times New Roman"/>
          <w:sz w:val="24"/>
          <w:szCs w:val="24"/>
        </w:rPr>
        <w:t>. Á</w:t>
      </w:r>
      <w:r w:rsidR="002D3895">
        <w:rPr>
          <w:rFonts w:ascii="Times New Roman" w:hAnsi="Times New Roman" w:cs="Times New Roman"/>
          <w:sz w:val="24"/>
          <w:szCs w:val="24"/>
        </w:rPr>
        <w:t xml:space="preserve">m stratégiai döntéseknél alkalmazásuk azt feltételezi, hogy a múltbeli tapasztalatok minden esetben általánosíthatók és alkalmazhatók a jövőben. A döntési keret kialakítása során fellépő kognitív korlátokat a leggyakrabban </w:t>
      </w:r>
      <w:r w:rsidR="00D34373">
        <w:rPr>
          <w:rFonts w:ascii="Times New Roman" w:hAnsi="Times New Roman" w:cs="Times New Roman"/>
          <w:sz w:val="24"/>
          <w:szCs w:val="24"/>
        </w:rPr>
        <w:t>az egyes jellemzők explicitté tételével, a kognitív térképezés módszerével oldjuk (lásd részletesen a Mind Mapping módszer összefoglalását a NYÍLT környezeti szemlélet mellett történő stratégia-alkotás összefoglalójában)</w:t>
      </w:r>
      <w:r w:rsidR="002C5C71">
        <w:rPr>
          <w:rFonts w:ascii="Times New Roman" w:hAnsi="Times New Roman" w:cs="Times New Roman"/>
          <w:sz w:val="24"/>
          <w:szCs w:val="24"/>
        </w:rPr>
        <w:t>.</w:t>
      </w:r>
    </w:p>
    <w:p w14:paraId="3DCB921C" w14:textId="77777777" w:rsidR="00495BD3" w:rsidRDefault="00495BD3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0A52" w14:textId="77777777" w:rsidR="00495BD3" w:rsidRDefault="00495BD3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D6F0" w14:textId="77777777" w:rsidR="002D3895" w:rsidRDefault="002D3895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854A" w14:textId="77777777" w:rsidR="00FF218E" w:rsidRPr="00FF218E" w:rsidRDefault="00FF218E" w:rsidP="00FF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8E">
        <w:rPr>
          <w:rFonts w:ascii="Times New Roman" w:hAnsi="Times New Roman" w:cs="Times New Roman"/>
          <w:b/>
          <w:sz w:val="24"/>
          <w:szCs w:val="24"/>
        </w:rPr>
        <w:lastRenderedPageBreak/>
        <w:tab/>
        <w:t>Stratégiai döntéshozatal</w:t>
      </w:r>
      <w:r w:rsidRPr="00FF218E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F218E">
        <w:rPr>
          <w:rFonts w:ascii="Times New Roman" w:hAnsi="Times New Roman" w:cs="Times New Roman"/>
          <w:b/>
          <w:sz w:val="24"/>
          <w:szCs w:val="24"/>
        </w:rPr>
        <w:t>. LÉPÉS</w:t>
      </w:r>
    </w:p>
    <w:p w14:paraId="51CD2207" w14:textId="77777777" w:rsidR="00FF218E" w:rsidRDefault="00FF218E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F3E95" w14:textId="77777777" w:rsidR="002D3895" w:rsidRDefault="002D3895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>Következő lépésként az információgyűjtés azonosítható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64F">
        <w:rPr>
          <w:rFonts w:ascii="Times New Roman" w:hAnsi="Times New Roman" w:cs="Times New Roman"/>
          <w:b/>
          <w:sz w:val="24"/>
          <w:szCs w:val="24"/>
        </w:rPr>
        <w:t>Az információgyűjtés esetében nem történik más, mint a döntési keret kialakítása során azonosított döntéshozatali jellemzőknek megfelelő információk összegyűjtése, értékelése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373">
        <w:rPr>
          <w:rFonts w:ascii="Times New Roman" w:hAnsi="Times New Roman" w:cs="Times New Roman"/>
          <w:sz w:val="24"/>
          <w:szCs w:val="24"/>
        </w:rPr>
        <w:t xml:space="preserve">Bár a lépés egyszerűnek tűnik, e ponton is számtalan, a döntéshozót megzavaró hatással kell szembenézzünk (például információs csapdák, horgonyhatások, </w:t>
      </w:r>
      <w:r w:rsidR="00BB55E9">
        <w:rPr>
          <w:rFonts w:ascii="Times New Roman" w:hAnsi="Times New Roman" w:cs="Times New Roman"/>
          <w:sz w:val="24"/>
          <w:szCs w:val="24"/>
        </w:rPr>
        <w:t xml:space="preserve">egyes </w:t>
      </w:r>
      <w:r w:rsidR="00D34373">
        <w:rPr>
          <w:rFonts w:ascii="Times New Roman" w:hAnsi="Times New Roman" w:cs="Times New Roman"/>
          <w:sz w:val="24"/>
          <w:szCs w:val="24"/>
        </w:rPr>
        <w:t xml:space="preserve">értékelési csapdák). Az </w:t>
      </w:r>
      <w:r w:rsidR="00BB55E9">
        <w:rPr>
          <w:rFonts w:ascii="Times New Roman" w:hAnsi="Times New Roman" w:cs="Times New Roman"/>
          <w:sz w:val="24"/>
          <w:szCs w:val="24"/>
        </w:rPr>
        <w:t>információgyűjtés során felmerülő</w:t>
      </w:r>
      <w:r w:rsidR="00D34373">
        <w:rPr>
          <w:rFonts w:ascii="Times New Roman" w:hAnsi="Times New Roman" w:cs="Times New Roman"/>
          <w:sz w:val="24"/>
          <w:szCs w:val="24"/>
        </w:rPr>
        <w:t xml:space="preserve"> csapdák elkerülése a döntési keret konzisztens és tervezett leképezésével, pontosan definiált adatokkal és értékelési módokkal biztosítható.</w:t>
      </w:r>
    </w:p>
    <w:p w14:paraId="0930C462" w14:textId="77777777" w:rsidR="00D34373" w:rsidRDefault="00D34373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8672" w14:textId="77777777" w:rsidR="00FF218E" w:rsidRDefault="00FF218E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88A5" w14:textId="77777777" w:rsidR="00FF218E" w:rsidRPr="00FF218E" w:rsidRDefault="00FF218E" w:rsidP="00FF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8E">
        <w:rPr>
          <w:rFonts w:ascii="Times New Roman" w:hAnsi="Times New Roman" w:cs="Times New Roman"/>
          <w:b/>
          <w:sz w:val="24"/>
          <w:szCs w:val="24"/>
        </w:rPr>
        <w:tab/>
        <w:t>Stratégiai döntéshozatal</w:t>
      </w:r>
      <w:r w:rsidRPr="00FF218E"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F218E">
        <w:rPr>
          <w:rFonts w:ascii="Times New Roman" w:hAnsi="Times New Roman" w:cs="Times New Roman"/>
          <w:b/>
          <w:sz w:val="24"/>
          <w:szCs w:val="24"/>
        </w:rPr>
        <w:t>. LÉPÉS</w:t>
      </w:r>
    </w:p>
    <w:p w14:paraId="586B1BD9" w14:textId="77777777" w:rsidR="00FF218E" w:rsidRDefault="00FF218E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420E" w14:textId="77777777" w:rsidR="00D34373" w:rsidRDefault="00D34373" w:rsidP="00CB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stratégiai döntésnek – a döntéshozók számára – leglátványosabb eleme a </w:t>
      </w:r>
      <w:r w:rsidRPr="00C8164F">
        <w:rPr>
          <w:rFonts w:ascii="Times New Roman" w:hAnsi="Times New Roman" w:cs="Times New Roman"/>
          <w:b/>
          <w:sz w:val="24"/>
          <w:szCs w:val="24"/>
        </w:rPr>
        <w:t>következtetés, választás</w:t>
      </w:r>
      <w:r>
        <w:rPr>
          <w:rFonts w:ascii="Times New Roman" w:hAnsi="Times New Roman" w:cs="Times New Roman"/>
          <w:sz w:val="24"/>
          <w:szCs w:val="24"/>
        </w:rPr>
        <w:t xml:space="preserve">. A következtetés, választás esetében a </w:t>
      </w:r>
      <w:r w:rsidR="00BA5B97">
        <w:rPr>
          <w:rFonts w:ascii="Times New Roman" w:hAnsi="Times New Roman" w:cs="Times New Roman"/>
          <w:sz w:val="24"/>
          <w:szCs w:val="24"/>
        </w:rPr>
        <w:t xml:space="preserve">legegyszerűbb szituációval akkor nézünk szembe, amikor egy jellemző alapján kell értékelnünk több alternatívát. </w:t>
      </w:r>
      <w:r w:rsidR="00495BD3">
        <w:rPr>
          <w:rFonts w:ascii="Times New Roman" w:hAnsi="Times New Roman" w:cs="Times New Roman"/>
          <w:sz w:val="24"/>
          <w:szCs w:val="24"/>
        </w:rPr>
        <w:t>Ez a</w:t>
      </w:r>
      <w:r w:rsidR="00BA5B97">
        <w:rPr>
          <w:rFonts w:ascii="Times New Roman" w:hAnsi="Times New Roman" w:cs="Times New Roman"/>
          <w:sz w:val="24"/>
          <w:szCs w:val="24"/>
        </w:rPr>
        <w:t xml:space="preserve"> szituáció – a stratégiai döntések sajátosságaiból következően – nem gyakori, ugyanakkor </w:t>
      </w:r>
      <w:r w:rsidR="00BA5B97" w:rsidRPr="00C8164F">
        <w:rPr>
          <w:rFonts w:ascii="Times New Roman" w:hAnsi="Times New Roman" w:cs="Times New Roman"/>
          <w:b/>
          <w:sz w:val="24"/>
          <w:szCs w:val="24"/>
        </w:rPr>
        <w:t>azon alternatívát, amely valamennyi más alternatívánál kedvezőbb képet mutat, domináns alternatívának nevezzük.</w:t>
      </w:r>
      <w:r w:rsidR="00BA5B97">
        <w:rPr>
          <w:rFonts w:ascii="Times New Roman" w:hAnsi="Times New Roman" w:cs="Times New Roman"/>
          <w:sz w:val="24"/>
          <w:szCs w:val="24"/>
        </w:rPr>
        <w:t xml:space="preserve"> Egynél több döntési változó esetében – ahogyan a </w:t>
      </w:r>
      <w:r w:rsidR="00495BD3">
        <w:rPr>
          <w:rFonts w:ascii="Times New Roman" w:hAnsi="Times New Roman" w:cs="Times New Roman"/>
          <w:sz w:val="24"/>
          <w:szCs w:val="24"/>
        </w:rPr>
        <w:t>„</w:t>
      </w:r>
      <w:r w:rsidR="00BA5B97">
        <w:rPr>
          <w:rFonts w:ascii="Times New Roman" w:hAnsi="Times New Roman" w:cs="Times New Roman"/>
          <w:sz w:val="24"/>
          <w:szCs w:val="24"/>
        </w:rPr>
        <w:t>Fogoly dilemma</w:t>
      </w:r>
      <w:r w:rsidR="00495BD3">
        <w:rPr>
          <w:rFonts w:ascii="Times New Roman" w:hAnsi="Times New Roman" w:cs="Times New Roman"/>
          <w:sz w:val="24"/>
          <w:szCs w:val="24"/>
        </w:rPr>
        <w:t>”</w:t>
      </w:r>
      <w:r w:rsidR="00BA5B97">
        <w:rPr>
          <w:rFonts w:ascii="Times New Roman" w:hAnsi="Times New Roman" w:cs="Times New Roman"/>
          <w:sz w:val="24"/>
          <w:szCs w:val="24"/>
        </w:rPr>
        <w:t xml:space="preserve"> is rámutat – ugyanakkor nem a domináns, hanem az optimális alternatívák realizálódnak. Az </w:t>
      </w:r>
      <w:r w:rsidR="00BA5B97" w:rsidRPr="00C8164F">
        <w:rPr>
          <w:rFonts w:ascii="Times New Roman" w:hAnsi="Times New Roman" w:cs="Times New Roman"/>
          <w:b/>
          <w:sz w:val="24"/>
          <w:szCs w:val="24"/>
        </w:rPr>
        <w:t>egyes alternatívák</w:t>
      </w:r>
      <w:r w:rsidR="00BA5B97">
        <w:rPr>
          <w:rFonts w:ascii="Times New Roman" w:hAnsi="Times New Roman" w:cs="Times New Roman"/>
          <w:sz w:val="24"/>
          <w:szCs w:val="24"/>
        </w:rPr>
        <w:t xml:space="preserve"> – komplex szituációban való – </w:t>
      </w:r>
      <w:r w:rsidR="00BA5B97" w:rsidRPr="00C8164F">
        <w:rPr>
          <w:rFonts w:ascii="Times New Roman" w:hAnsi="Times New Roman" w:cs="Times New Roman"/>
          <w:b/>
          <w:sz w:val="24"/>
          <w:szCs w:val="24"/>
        </w:rPr>
        <w:t>sorba rendezésének több eszköze kínálkozik</w:t>
      </w:r>
      <w:r w:rsidR="002C5C7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5"/>
      </w:r>
      <w:r w:rsidR="00BA5B97">
        <w:rPr>
          <w:rFonts w:ascii="Times New Roman" w:hAnsi="Times New Roman" w:cs="Times New Roman"/>
          <w:sz w:val="24"/>
          <w:szCs w:val="24"/>
        </w:rPr>
        <w:t>:</w:t>
      </w:r>
    </w:p>
    <w:p w14:paraId="5DAACDFA" w14:textId="77777777" w:rsidR="00BA5B97" w:rsidRDefault="00BA5B97" w:rsidP="00BA5B9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>ökölszabályok</w:t>
      </w:r>
      <w:r>
        <w:rPr>
          <w:rFonts w:ascii="Times New Roman" w:hAnsi="Times New Roman" w:cs="Times New Roman"/>
          <w:sz w:val="24"/>
          <w:szCs w:val="24"/>
        </w:rPr>
        <w:t xml:space="preserve"> – iparági, ágazati, szervezeti implicit tapasztalatok alkalmazása, általánosítása adott szituációra (</w:t>
      </w:r>
      <w:r w:rsidR="005E77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l.: válaszd mindig a második legolcsóbb ajánlatot; a projekt vezetői alapján dönts a megvalósításról, ne a részletes terv nyomán;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7CACE72D" w14:textId="77777777" w:rsidR="00BA5B97" w:rsidRDefault="00BA5B97" w:rsidP="00BA5B9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>egyedi döntés két alternatívával</w:t>
      </w:r>
      <w:r>
        <w:rPr>
          <w:rFonts w:ascii="Times New Roman" w:hAnsi="Times New Roman" w:cs="Times New Roman"/>
          <w:sz w:val="24"/>
          <w:szCs w:val="24"/>
        </w:rPr>
        <w:t xml:space="preserve"> – írd fel mind a két alternatíva esetén külön-külön a mellettük és az ellenük szóló érveket (a számba vett információkból kiindulva). Hasonlítsd össze az érveket mindkét alternat</w:t>
      </w:r>
      <w:r w:rsidR="00BB55E9">
        <w:rPr>
          <w:rFonts w:ascii="Times New Roman" w:hAnsi="Times New Roman" w:cs="Times New Roman"/>
          <w:sz w:val="24"/>
          <w:szCs w:val="24"/>
        </w:rPr>
        <w:t>íva esetén. U</w:t>
      </w:r>
      <w:r>
        <w:rPr>
          <w:rFonts w:ascii="Times New Roman" w:hAnsi="Times New Roman" w:cs="Times New Roman"/>
          <w:sz w:val="24"/>
          <w:szCs w:val="24"/>
        </w:rPr>
        <w:t>gyanazon negatív, vagy pozitív érveket húzd ki</w:t>
      </w:r>
      <w:r w:rsidR="00171F0D">
        <w:rPr>
          <w:rFonts w:ascii="Times New Roman" w:hAnsi="Times New Roman" w:cs="Times New Roman"/>
          <w:sz w:val="24"/>
          <w:szCs w:val="24"/>
        </w:rPr>
        <w:t xml:space="preserve"> mind a két esetben. Ezzel leegyszerűsítjük a figyelembe veendő jellemzőket, és megkönnyítjük a választást.</w:t>
      </w:r>
    </w:p>
    <w:p w14:paraId="102DB71D" w14:textId="77777777" w:rsidR="00171F0D" w:rsidRDefault="00171F0D" w:rsidP="00BA5B9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>lineáris döntéshozatali modellek</w:t>
      </w:r>
      <w:r>
        <w:rPr>
          <w:rFonts w:ascii="Times New Roman" w:hAnsi="Times New Roman" w:cs="Times New Roman"/>
          <w:sz w:val="24"/>
          <w:szCs w:val="24"/>
        </w:rPr>
        <w:t>: ebben az esetben döntéshozatali modellt építünk</w:t>
      </w:r>
      <w:r w:rsidR="00E729E6">
        <w:rPr>
          <w:rFonts w:ascii="Times New Roman" w:hAnsi="Times New Roman" w:cs="Times New Roman"/>
          <w:sz w:val="24"/>
          <w:szCs w:val="24"/>
        </w:rPr>
        <w:t xml:space="preserve"> (2.sz. ábra)</w:t>
      </w:r>
      <w:r>
        <w:rPr>
          <w:rFonts w:ascii="Times New Roman" w:hAnsi="Times New Roman" w:cs="Times New Roman"/>
          <w:sz w:val="24"/>
          <w:szCs w:val="24"/>
        </w:rPr>
        <w:t>. A döntési keret során kijelölt jellemzők döntéshozatalunkat befolyásoló jellegéhez súlyokat rendelünk, és minden jellemzőt – a számba vett információk alapján – külön-külön ugyanazon (általában 1-5, vagy 1-6 fokozatú) skálán értékelünk. Az egyes jellemzők mentén, a súlyok figyelembe vételével adott pontszámok az egyes alternatívák megfelelőségének erősségét jelzik:</w:t>
      </w:r>
    </w:p>
    <w:p w14:paraId="44D6A07D" w14:textId="77777777" w:rsidR="00171F0D" w:rsidRDefault="00171F0D" w:rsidP="00171F0D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Szubjektív lineáris modellnek nevezzük azokat, ahol a súlyokat a döntéshozók szubjektíven, vitáik eredményeképpen állítják be.</w:t>
      </w:r>
    </w:p>
    <w:p w14:paraId="78D7A3CA" w14:textId="77777777" w:rsidR="00171F0D" w:rsidRDefault="00171F0D" w:rsidP="00171F0D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Objektív lineáris modellnek nevezzük azokat, ahol a súlyokat adott jelenségek statisztikai eloszlása eredményeként van módunk beállítani.</w:t>
      </w:r>
    </w:p>
    <w:p w14:paraId="03B3680F" w14:textId="77777777" w:rsidR="00171F0D" w:rsidRDefault="00171F0D" w:rsidP="00171F0D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Bootstrapping-nek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nevezzük azt az eljárást, amikor döntéshozókkal hipotetikus döntéseket hozatunk eltérő paraméterek mellett, majd ebből következtetünk az általuk implicit módon alkalmazott döntéshozatali súlyokra.</w:t>
      </w:r>
    </w:p>
    <w:p w14:paraId="14ABBBAD" w14:textId="77777777" w:rsidR="00E729E6" w:rsidRDefault="00E729E6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BA67B" w14:textId="77777777" w:rsidR="002C5C71" w:rsidRDefault="002C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3E6CDD" w14:textId="77777777" w:rsidR="00E729E6" w:rsidRPr="005E77E1" w:rsidRDefault="00E729E6" w:rsidP="005E77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E1">
        <w:rPr>
          <w:rFonts w:ascii="Times New Roman" w:hAnsi="Times New Roman" w:cs="Times New Roman"/>
          <w:b/>
          <w:i/>
          <w:sz w:val="24"/>
          <w:szCs w:val="24"/>
        </w:rPr>
        <w:lastRenderedPageBreak/>
        <w:t>2.sz. ábra</w:t>
      </w:r>
      <w:r w:rsidRPr="005E77E1">
        <w:rPr>
          <w:rFonts w:ascii="Times New Roman" w:hAnsi="Times New Roman" w:cs="Times New Roman"/>
          <w:b/>
          <w:sz w:val="24"/>
          <w:szCs w:val="24"/>
        </w:rPr>
        <w:t>: A lineáris döntéshozatali modellek elvi képe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316"/>
        <w:gridCol w:w="1316"/>
        <w:gridCol w:w="1316"/>
        <w:gridCol w:w="1316"/>
        <w:gridCol w:w="1316"/>
        <w:gridCol w:w="1582"/>
      </w:tblGrid>
      <w:tr w:rsidR="00E729E6" w:rsidRPr="00E729E6" w14:paraId="4B634E46" w14:textId="77777777" w:rsidTr="00D11F13">
        <w:trPr>
          <w:jc w:val="center"/>
        </w:trPr>
        <w:tc>
          <w:tcPr>
            <w:tcW w:w="1779" w:type="dxa"/>
          </w:tcPr>
          <w:p w14:paraId="35E32C42" w14:textId="77777777" w:rsidR="00E729E6" w:rsidRPr="00E729E6" w:rsidRDefault="00E729E6" w:rsidP="00E729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Alternatíva</w:t>
            </w:r>
          </w:p>
        </w:tc>
        <w:tc>
          <w:tcPr>
            <w:tcW w:w="1316" w:type="dxa"/>
          </w:tcPr>
          <w:p w14:paraId="6725AEE0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tényező</w:t>
            </w:r>
          </w:p>
        </w:tc>
        <w:tc>
          <w:tcPr>
            <w:tcW w:w="1316" w:type="dxa"/>
          </w:tcPr>
          <w:p w14:paraId="2BB2AB7B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tényező</w:t>
            </w:r>
          </w:p>
        </w:tc>
        <w:tc>
          <w:tcPr>
            <w:tcW w:w="1316" w:type="dxa"/>
          </w:tcPr>
          <w:p w14:paraId="00695AF0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tényező</w:t>
            </w:r>
          </w:p>
        </w:tc>
        <w:tc>
          <w:tcPr>
            <w:tcW w:w="1316" w:type="dxa"/>
          </w:tcPr>
          <w:p w14:paraId="64D26714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316" w:type="dxa"/>
          </w:tcPr>
          <w:p w14:paraId="76C94574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 tényező</w:t>
            </w:r>
          </w:p>
        </w:tc>
        <w:tc>
          <w:tcPr>
            <w:tcW w:w="1582" w:type="dxa"/>
          </w:tcPr>
          <w:p w14:paraId="227A5D8A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Súlyozott pontszám</w:t>
            </w:r>
          </w:p>
        </w:tc>
      </w:tr>
      <w:tr w:rsidR="00E729E6" w:rsidRPr="00E729E6" w14:paraId="0453784E" w14:textId="77777777" w:rsidTr="00D11F13">
        <w:trPr>
          <w:jc w:val="center"/>
        </w:trPr>
        <w:tc>
          <w:tcPr>
            <w:tcW w:w="1779" w:type="dxa"/>
          </w:tcPr>
          <w:p w14:paraId="3BBEB6C9" w14:textId="77777777" w:rsidR="00E729E6" w:rsidRPr="00E729E6" w:rsidRDefault="00E729E6" w:rsidP="00E729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A1</w:t>
            </w:r>
          </w:p>
        </w:tc>
        <w:tc>
          <w:tcPr>
            <w:tcW w:w="1316" w:type="dxa"/>
          </w:tcPr>
          <w:p w14:paraId="1E771151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58E0112A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26FF4FB3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2BA15EE5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68C23B00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2" w:type="dxa"/>
          </w:tcPr>
          <w:p w14:paraId="7E5E5799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9E6" w:rsidRPr="00E729E6" w14:paraId="505EFE20" w14:textId="77777777" w:rsidTr="00D11F13">
        <w:trPr>
          <w:jc w:val="center"/>
        </w:trPr>
        <w:tc>
          <w:tcPr>
            <w:tcW w:w="1779" w:type="dxa"/>
          </w:tcPr>
          <w:p w14:paraId="113AF539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A2</w:t>
            </w:r>
          </w:p>
        </w:tc>
        <w:tc>
          <w:tcPr>
            <w:tcW w:w="1316" w:type="dxa"/>
          </w:tcPr>
          <w:p w14:paraId="1DDE379E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71086CCE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6B4314D1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07828B0B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361CD4E0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2" w:type="dxa"/>
          </w:tcPr>
          <w:p w14:paraId="0B1F71D7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9E6" w:rsidRPr="00E729E6" w14:paraId="20768F60" w14:textId="77777777" w:rsidTr="00D11F13">
        <w:trPr>
          <w:jc w:val="center"/>
        </w:trPr>
        <w:tc>
          <w:tcPr>
            <w:tcW w:w="1779" w:type="dxa"/>
          </w:tcPr>
          <w:p w14:paraId="6747F43B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A3</w:t>
            </w:r>
          </w:p>
        </w:tc>
        <w:tc>
          <w:tcPr>
            <w:tcW w:w="1316" w:type="dxa"/>
          </w:tcPr>
          <w:p w14:paraId="4E7156C5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6D1AAD83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337F74A6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3BAADA19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247DCA19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2" w:type="dxa"/>
          </w:tcPr>
          <w:p w14:paraId="08BEF2D5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9E6" w:rsidRPr="00E729E6" w14:paraId="3CC4B691" w14:textId="77777777" w:rsidTr="00D11F13">
        <w:trPr>
          <w:jc w:val="center"/>
        </w:trPr>
        <w:tc>
          <w:tcPr>
            <w:tcW w:w="1779" w:type="dxa"/>
          </w:tcPr>
          <w:p w14:paraId="7F671FFA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316" w:type="dxa"/>
          </w:tcPr>
          <w:p w14:paraId="3242AC50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42D94185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23B35798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3234389D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186CA313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2" w:type="dxa"/>
          </w:tcPr>
          <w:p w14:paraId="1AB8C0AF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9E6" w:rsidRPr="00E729E6" w14:paraId="6A5991EC" w14:textId="77777777" w:rsidTr="00D11F13">
        <w:trPr>
          <w:jc w:val="center"/>
        </w:trPr>
        <w:tc>
          <w:tcPr>
            <w:tcW w:w="1779" w:type="dxa"/>
          </w:tcPr>
          <w:p w14:paraId="619CACF8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</w:t>
            </w:r>
          </w:p>
        </w:tc>
        <w:tc>
          <w:tcPr>
            <w:tcW w:w="1316" w:type="dxa"/>
          </w:tcPr>
          <w:p w14:paraId="52A48D32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0DC98E9C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0870A92D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6516E728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6" w:type="dxa"/>
          </w:tcPr>
          <w:p w14:paraId="3AAED222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2" w:type="dxa"/>
          </w:tcPr>
          <w:p w14:paraId="5FC02BB4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29E6" w:rsidRPr="00E729E6" w14:paraId="6C50EF61" w14:textId="77777777" w:rsidTr="00D11F13">
        <w:trPr>
          <w:jc w:val="center"/>
        </w:trPr>
        <w:tc>
          <w:tcPr>
            <w:tcW w:w="1779" w:type="dxa"/>
          </w:tcPr>
          <w:p w14:paraId="093FFC67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</w:t>
            </w:r>
          </w:p>
        </w:tc>
        <w:tc>
          <w:tcPr>
            <w:tcW w:w="1316" w:type="dxa"/>
          </w:tcPr>
          <w:p w14:paraId="76C2C3F2" w14:textId="77777777" w:rsidR="00E729E6" w:rsidRPr="00E729E6" w:rsidRDefault="00E729E6" w:rsidP="00E729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S1</w:t>
            </w:r>
          </w:p>
        </w:tc>
        <w:tc>
          <w:tcPr>
            <w:tcW w:w="1316" w:type="dxa"/>
          </w:tcPr>
          <w:p w14:paraId="28E41486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S2</w:t>
            </w:r>
          </w:p>
        </w:tc>
        <w:tc>
          <w:tcPr>
            <w:tcW w:w="1316" w:type="dxa"/>
          </w:tcPr>
          <w:p w14:paraId="50F42B06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S3</w:t>
            </w:r>
          </w:p>
        </w:tc>
        <w:tc>
          <w:tcPr>
            <w:tcW w:w="1316" w:type="dxa"/>
          </w:tcPr>
          <w:p w14:paraId="422376EC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316" w:type="dxa"/>
          </w:tcPr>
          <w:p w14:paraId="65960B3B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72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Sn</w:t>
            </w:r>
            <w:proofErr w:type="spellEnd"/>
          </w:p>
        </w:tc>
        <w:tc>
          <w:tcPr>
            <w:tcW w:w="1582" w:type="dxa"/>
          </w:tcPr>
          <w:p w14:paraId="4839CBEC" w14:textId="77777777" w:rsidR="00E729E6" w:rsidRPr="00E729E6" w:rsidRDefault="00E729E6" w:rsidP="00E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7FC437D" w14:textId="77777777" w:rsidR="00E729E6" w:rsidRDefault="002C5C71" w:rsidP="005E77E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saját szerkesztés</w:t>
      </w:r>
      <w:r w:rsidR="005E77E1">
        <w:rPr>
          <w:rFonts w:ascii="Times New Roman" w:hAnsi="Times New Roman" w:cs="Times New Roman"/>
          <w:sz w:val="24"/>
          <w:szCs w:val="24"/>
        </w:rPr>
        <w:t>.</w:t>
      </w:r>
    </w:p>
    <w:p w14:paraId="23B5F7F1" w14:textId="77777777" w:rsidR="002C5C71" w:rsidRDefault="002C5C71" w:rsidP="005E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590D3" w14:textId="77777777" w:rsidR="00E729E6" w:rsidRPr="00E729E6" w:rsidRDefault="00E729E6" w:rsidP="00E729E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64F">
        <w:rPr>
          <w:rFonts w:ascii="Times New Roman" w:hAnsi="Times New Roman" w:cs="Times New Roman"/>
          <w:b/>
          <w:sz w:val="24"/>
          <w:szCs w:val="24"/>
        </w:rPr>
        <w:t>analitic</w:t>
      </w:r>
      <w:proofErr w:type="spellEnd"/>
      <w:r w:rsidRPr="00C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64F">
        <w:rPr>
          <w:rFonts w:ascii="Times New Roman" w:hAnsi="Times New Roman" w:cs="Times New Roman"/>
          <w:b/>
          <w:sz w:val="24"/>
          <w:szCs w:val="24"/>
        </w:rPr>
        <w:t>hierarchy</w:t>
      </w:r>
      <w:proofErr w:type="spellEnd"/>
      <w:r w:rsidRPr="00C81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64F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ez esetben is döntési modell felépítése történik meg, de az előzőektől eltérő módon. A döntési cél kijelölését követően első lépésben a döntési keretből következő döntési kritériumok, majd az egyes kritériumokat leíró alkritériumok számba vétele történik meg. Ezt követően a kritériumok döntéshozatalt befolyásoló súlyainak meghatározása történik meg úgy, hogy a döntéshozók egymással szembeállítva állítanak fel egyértelmű súlyozott sorrendet a döntési kritériumok között. Ugyanezen metódussal az egyes alkritériumok adott kritériumot meghatározó súlyainak beállítása is megtörténik. Az egyes alternatívák értékelése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alkr</w:t>
      </w:r>
      <w:r w:rsidR="001B7CDA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ériumonként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történik </w:t>
      </w:r>
      <w:r w:rsidR="001B7CDA">
        <w:rPr>
          <w:rFonts w:ascii="Times New Roman" w:hAnsi="Times New Roman" w:cs="Times New Roman"/>
          <w:sz w:val="24"/>
          <w:szCs w:val="24"/>
        </w:rPr>
        <w:t xml:space="preserve">(egyszerre mindig egy értékelési szempontra összpontosítva). Végeredményül (az egyes </w:t>
      </w:r>
      <w:proofErr w:type="spellStart"/>
      <w:r w:rsidR="001B7CDA">
        <w:rPr>
          <w:rFonts w:ascii="Times New Roman" w:hAnsi="Times New Roman" w:cs="Times New Roman"/>
          <w:sz w:val="24"/>
          <w:szCs w:val="24"/>
        </w:rPr>
        <w:t>alkritériumok</w:t>
      </w:r>
      <w:proofErr w:type="spellEnd"/>
      <w:r w:rsidR="001B7CDA">
        <w:rPr>
          <w:rFonts w:ascii="Times New Roman" w:hAnsi="Times New Roman" w:cs="Times New Roman"/>
          <w:sz w:val="24"/>
          <w:szCs w:val="24"/>
        </w:rPr>
        <w:t xml:space="preserve"> és kritériumok súlyát figyelembe véve) az egyes alternatívák itt is pontokat szereznek, a legmagasabb pontszámot szerző alternatíva tekinthető ideális választásnak.</w:t>
      </w:r>
    </w:p>
    <w:p w14:paraId="65C1B1F0" w14:textId="77777777" w:rsidR="00E729E6" w:rsidRDefault="00E729E6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9A310" w14:textId="447B083E" w:rsidR="00F6631A" w:rsidRPr="00FF218E" w:rsidRDefault="00F6631A" w:rsidP="00F6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Stratégiai döntéshozatal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FF218E">
        <w:rPr>
          <w:rFonts w:ascii="Times New Roman" w:hAnsi="Times New Roman" w:cs="Times New Roman"/>
          <w:b/>
          <w:sz w:val="24"/>
          <w:szCs w:val="24"/>
        </w:rPr>
        <w:t>. LÉPÉS</w:t>
      </w:r>
    </w:p>
    <w:p w14:paraId="1D82F40F" w14:textId="77777777" w:rsidR="00F6631A" w:rsidRDefault="00F6631A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4225F" w14:textId="77777777" w:rsidR="001B7CDA" w:rsidRDefault="001B7CDA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4F">
        <w:rPr>
          <w:rFonts w:ascii="Times New Roman" w:hAnsi="Times New Roman" w:cs="Times New Roman"/>
          <w:b/>
          <w:sz w:val="24"/>
          <w:szCs w:val="24"/>
        </w:rPr>
        <w:t>A stratégiai döntéshozatal utolsó pontja a tanulás megvalósítása</w:t>
      </w:r>
      <w:r>
        <w:rPr>
          <w:rFonts w:ascii="Times New Roman" w:hAnsi="Times New Roman" w:cs="Times New Roman"/>
          <w:sz w:val="24"/>
          <w:szCs w:val="24"/>
        </w:rPr>
        <w:t xml:space="preserve">. A stratégiai döntéshozatal során </w:t>
      </w:r>
      <w:r w:rsidRPr="00C8164F">
        <w:rPr>
          <w:rFonts w:ascii="Times New Roman" w:hAnsi="Times New Roman" w:cs="Times New Roman"/>
          <w:b/>
          <w:sz w:val="24"/>
          <w:szCs w:val="24"/>
        </w:rPr>
        <w:t>a tanulás megvalósulhat folyamatba ágyazottan, vagy átfogóan</w:t>
      </w:r>
      <w:r>
        <w:rPr>
          <w:rFonts w:ascii="Times New Roman" w:hAnsi="Times New Roman" w:cs="Times New Roman"/>
          <w:sz w:val="24"/>
          <w:szCs w:val="24"/>
        </w:rPr>
        <w:t xml:space="preserve">. A folyamatba ágyazott tanulás során a szereplők egy fázisban azt észlelhetik, hogy egy korábbi fázisban a döntéshozók felületesek, vagy elnagyoltak voltak (ilyen jelek lehetnek a nem kellően definiált adatok az információgyűjtés fázisában, vagy hiányos információ a következtetés, választás fázisban). Ebben az esetben szerencsés visszatérni a korábbi fázishoz, ez úton a döntéshozatali hibát elkerülni. Az átfogó tanulás megindítása a folyamat végén következhet, megvizsgálva analitikusan milyen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metadöntést</w:t>
      </w:r>
      <w:proofErr w:type="spellEnd"/>
      <w:r>
        <w:rPr>
          <w:rFonts w:ascii="Times New Roman" w:hAnsi="Times New Roman" w:cs="Times New Roman"/>
          <w:sz w:val="24"/>
          <w:szCs w:val="24"/>
        </w:rPr>
        <w:t>, döntéshozatali keretet, információgyűjtést, vagy választási modellt alkalmaztunk, milyen döntéshozatali hibákat követtünk el, és miért.</w:t>
      </w:r>
    </w:p>
    <w:p w14:paraId="2F377CB7" w14:textId="77777777" w:rsidR="001B7CDA" w:rsidRDefault="001B7CDA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4906" w14:textId="77777777" w:rsidR="001B7CDA" w:rsidRDefault="001B7CDA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stratégiai döntések számtalan csapdát, kognitív hibát hordoznak, melyek közül valamennyi elkerülése lehetetlen feladat, szisztematikus hibáink ugyanakkor – mint az élet bármely más területén – tanulmányozással, értékeléssel kiszűrhetők, melyek mind a döntés eredményét, mind a megvalósítás módját fejlesztik.</w:t>
      </w:r>
    </w:p>
    <w:p w14:paraId="7ED6757E" w14:textId="77777777" w:rsidR="00A845C5" w:rsidRPr="00C234E5" w:rsidRDefault="00A845C5" w:rsidP="00A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BBCDDF" w14:textId="77777777" w:rsidR="00A845C5" w:rsidRPr="00C234E5" w:rsidRDefault="00A845C5" w:rsidP="00A84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34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feldolgozásához ajánlott irodalom:</w:t>
      </w:r>
    </w:p>
    <w:p w14:paraId="07D5E38B" w14:textId="77777777" w:rsidR="00A845C5" w:rsidRDefault="00A845C5" w:rsidP="00A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D09E0A" w14:textId="77777777" w:rsidR="001B7CDA" w:rsidRP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5C5">
        <w:rPr>
          <w:rFonts w:ascii="Times New Roman" w:hAnsi="Times New Roman" w:cs="Times New Roman"/>
          <w:sz w:val="24"/>
          <w:szCs w:val="24"/>
        </w:rPr>
        <w:t xml:space="preserve">Barakonyi, K. (1998): </w:t>
      </w:r>
      <w:r w:rsidRPr="00A84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Stratégiai döntések: Csapdák - Buktatók - Megoldások, Janus Pannonius Tudományegyetem </w:t>
      </w:r>
      <w:proofErr w:type="spellStart"/>
      <w:r w:rsidRPr="00A845C5">
        <w:rPr>
          <w:rFonts w:ascii="Times New Roman" w:hAnsi="Times New Roman" w:cs="Times New Roman"/>
          <w:bCs/>
          <w:color w:val="000000"/>
          <w:sz w:val="24"/>
          <w:szCs w:val="24"/>
        </w:rPr>
        <w:t>Felnõttképzési</w:t>
      </w:r>
      <w:proofErr w:type="spellEnd"/>
      <w:r w:rsidRPr="00A84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Emberi </w:t>
      </w:r>
      <w:proofErr w:type="spellStart"/>
      <w:r w:rsidRPr="00A845C5">
        <w:rPr>
          <w:rFonts w:ascii="Times New Roman" w:hAnsi="Times New Roman" w:cs="Times New Roman"/>
          <w:bCs/>
          <w:color w:val="000000"/>
          <w:sz w:val="24"/>
          <w:szCs w:val="24"/>
        </w:rPr>
        <w:t>Erõforrás</w:t>
      </w:r>
      <w:proofErr w:type="spellEnd"/>
      <w:r w:rsidRPr="00A84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Fejlesztési Intézete, Pécs</w:t>
      </w:r>
    </w:p>
    <w:p w14:paraId="274BD6DA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5C5">
        <w:rPr>
          <w:rFonts w:ascii="Times New Roman" w:hAnsi="Times New Roman" w:cs="Times New Roman"/>
          <w:bCs/>
          <w:sz w:val="24"/>
          <w:szCs w:val="24"/>
        </w:rPr>
        <w:t xml:space="preserve">Henry </w:t>
      </w:r>
      <w:proofErr w:type="spellStart"/>
      <w:r w:rsidRPr="00A845C5">
        <w:rPr>
          <w:rFonts w:ascii="Times New Roman" w:hAnsi="Times New Roman" w:cs="Times New Roman"/>
          <w:bCs/>
          <w:sz w:val="24"/>
          <w:szCs w:val="24"/>
        </w:rPr>
        <w:t>Mintzberg</w:t>
      </w:r>
      <w:proofErr w:type="spellEnd"/>
      <w:r w:rsidRPr="00A845C5">
        <w:rPr>
          <w:rFonts w:ascii="Times New Roman" w:hAnsi="Times New Roman" w:cs="Times New Roman"/>
          <w:bCs/>
          <w:sz w:val="24"/>
          <w:szCs w:val="24"/>
        </w:rPr>
        <w:t xml:space="preserve">, Bruce </w:t>
      </w:r>
      <w:proofErr w:type="spellStart"/>
      <w:r w:rsidRPr="00A845C5">
        <w:rPr>
          <w:rFonts w:ascii="Times New Roman" w:hAnsi="Times New Roman" w:cs="Times New Roman"/>
          <w:bCs/>
          <w:sz w:val="24"/>
          <w:szCs w:val="24"/>
        </w:rPr>
        <w:t>Ahlstrand</w:t>
      </w:r>
      <w:proofErr w:type="spellEnd"/>
      <w:r w:rsidRPr="00A845C5">
        <w:rPr>
          <w:rFonts w:ascii="Times New Roman" w:hAnsi="Times New Roman" w:cs="Times New Roman"/>
          <w:bCs/>
          <w:sz w:val="24"/>
          <w:szCs w:val="24"/>
        </w:rPr>
        <w:t xml:space="preserve">, Joseph </w:t>
      </w:r>
      <w:proofErr w:type="spellStart"/>
      <w:r w:rsidRPr="00A845C5">
        <w:rPr>
          <w:rFonts w:ascii="Times New Roman" w:hAnsi="Times New Roman" w:cs="Times New Roman"/>
          <w:bCs/>
          <w:sz w:val="24"/>
          <w:szCs w:val="24"/>
        </w:rPr>
        <w:t>Lampel</w:t>
      </w:r>
      <w:proofErr w:type="spellEnd"/>
      <w:r w:rsidRPr="00A845C5">
        <w:rPr>
          <w:rFonts w:ascii="Times New Roman" w:hAnsi="Times New Roman" w:cs="Times New Roman"/>
          <w:bCs/>
          <w:sz w:val="24"/>
          <w:szCs w:val="24"/>
        </w:rPr>
        <w:t xml:space="preserve"> (ford. Kállai Tibor): Stratégiai Szafari: Útbaigazítás a stratégiai menedzsmentben, HVG Rt., Budapest, 2005.</w:t>
      </w:r>
    </w:p>
    <w:p w14:paraId="237E2E48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245C4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B403A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BCA9C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89ED5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23B40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7F96B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883863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828D9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73E27A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C42D67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E7C0C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9919B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3B875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982F7B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624664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3359D3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9B1EA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FB5C0A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6B330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15242F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A00B5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9ED4F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1A319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AE727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27A51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B4347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0CA11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4CEC2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CC77D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DC62E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875ED" w14:textId="77777777" w:rsidR="00A845C5" w:rsidRDefault="00A845C5" w:rsidP="00A845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0ED2D" w14:textId="77777777" w:rsidR="001B7CDA" w:rsidRDefault="00A845C5" w:rsidP="005E77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E5A3295" wp14:editId="655383CD">
            <wp:extent cx="5760720" cy="32429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7A1E8" w14:textId="77777777" w:rsidR="001B7CDA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4BAEA7E" w14:textId="77777777" w:rsidR="001B7CDA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1C2B9DE" w14:textId="77777777" w:rsidR="001B7CDA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661482D" w14:textId="77777777" w:rsidR="001B7CDA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D1AA79C" w14:textId="77777777" w:rsidR="001B7CDA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29CED88" w14:textId="77777777" w:rsidR="001B7CDA" w:rsidRPr="005E77E1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2951366D" w14:textId="77777777" w:rsidR="001B7CDA" w:rsidRPr="005E77E1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  <w:r w:rsidRPr="005E77E1">
        <w:rPr>
          <w:rFonts w:ascii="Times New Roman" w:hAnsi="Times New Roman" w:cs="Times New Roman"/>
          <w:b/>
          <w:caps/>
          <w:sz w:val="32"/>
          <w:szCs w:val="60"/>
        </w:rPr>
        <w:t xml:space="preserve">1.sz. Melléklet: </w:t>
      </w:r>
    </w:p>
    <w:p w14:paraId="2BA1BA08" w14:textId="77777777" w:rsidR="001B7CDA" w:rsidRPr="005E77E1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766A94DA" w14:textId="77777777" w:rsidR="001B7CDA" w:rsidRPr="005E77E1" w:rsidRDefault="001B7CDA" w:rsidP="001B7CD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60"/>
        </w:rPr>
      </w:pPr>
      <w:r w:rsidRPr="005E77E1">
        <w:rPr>
          <w:rFonts w:ascii="Times New Roman" w:hAnsi="Times New Roman" w:cs="Times New Roman"/>
          <w:caps/>
          <w:sz w:val="32"/>
          <w:szCs w:val="60"/>
        </w:rPr>
        <w:t>Gyakori döntéshozatali hibák</w:t>
      </w:r>
    </w:p>
    <w:p w14:paraId="71DD6820" w14:textId="77777777" w:rsidR="001B7CDA" w:rsidRDefault="001B7CDA" w:rsidP="001B7CDA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p w14:paraId="55F09A6C" w14:textId="77777777" w:rsidR="001B7CDA" w:rsidRDefault="001B7CDA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63DB" w:rsidRPr="00EC63DB" w14:paraId="244DA374" w14:textId="77777777" w:rsidTr="00C8164F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A60F263" w14:textId="77777777" w:rsidR="00EC63DB" w:rsidRPr="00EC63DB" w:rsidRDefault="00EC63DB" w:rsidP="00E3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t>Döntéshozatali hiba jellege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43F6893" w14:textId="77777777" w:rsidR="00EC63DB" w:rsidRPr="00EC63DB" w:rsidRDefault="00EC63DB" w:rsidP="00E3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t>Döntéshozatali hiba megnevezése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F9BBA79" w14:textId="77777777" w:rsidR="00EC63DB" w:rsidRPr="00EC63DB" w:rsidRDefault="00EC63DB" w:rsidP="00E3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t>Döntéshozatali hiba rövid összegzése</w:t>
            </w:r>
          </w:p>
        </w:tc>
      </w:tr>
      <w:tr w:rsidR="0031602A" w14:paraId="32C547E3" w14:textId="77777777" w:rsidTr="005E77E1">
        <w:trPr>
          <w:trHeight w:val="1570"/>
        </w:trPr>
        <w:tc>
          <w:tcPr>
            <w:tcW w:w="3070" w:type="dxa"/>
            <w:vMerge w:val="restart"/>
            <w:vAlign w:val="center"/>
          </w:tcPr>
          <w:p w14:paraId="51845768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értékelési csapdák</w:t>
            </w:r>
          </w:p>
        </w:tc>
        <w:tc>
          <w:tcPr>
            <w:tcW w:w="3071" w:type="dxa"/>
            <w:vAlign w:val="center"/>
          </w:tcPr>
          <w:p w14:paraId="5D1A0872" w14:textId="77777777" w:rsidR="0031602A" w:rsidRDefault="0031602A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Múltbeli erőforrások hibás értékelése</w:t>
            </w:r>
          </w:p>
        </w:tc>
        <w:tc>
          <w:tcPr>
            <w:tcW w:w="3071" w:type="dxa"/>
          </w:tcPr>
          <w:p w14:paraId="4AC2EB2F" w14:textId="77777777" w:rsidR="0031602A" w:rsidRDefault="00D610EA" w:rsidP="00D61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szituációban a döntési cél helyett múltbeli döntések eredményeként elveszett erőforrások visszaszerzése kerül a fókuszba.</w:t>
            </w:r>
          </w:p>
        </w:tc>
      </w:tr>
      <w:tr w:rsidR="0031602A" w14:paraId="33407D4B" w14:textId="77777777" w:rsidTr="005E77E1">
        <w:trPr>
          <w:trHeight w:val="2103"/>
        </w:trPr>
        <w:tc>
          <w:tcPr>
            <w:tcW w:w="3070" w:type="dxa"/>
            <w:vMerge/>
            <w:vAlign w:val="center"/>
          </w:tcPr>
          <w:p w14:paraId="556392D3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8048DCE" w14:textId="77777777" w:rsidR="0031602A" w:rsidRDefault="0031602A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Erőforrások, alapok csoportosítása</w:t>
            </w:r>
          </w:p>
        </w:tc>
        <w:tc>
          <w:tcPr>
            <w:tcW w:w="3071" w:type="dxa"/>
          </w:tcPr>
          <w:p w14:paraId="11C0F9EC" w14:textId="77777777" w:rsidR="0031602A" w:rsidRDefault="00D610EA" w:rsidP="00E7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szituációban a döntési cél megítélése változik annak tükrében, hogy a döntéssel érintett erőforrások egy tetszőleges referenciaérték</w:t>
            </w:r>
            <w:r w:rsidR="00FF218E">
              <w:rPr>
                <w:rFonts w:ascii="Times New Roman" w:hAnsi="Times New Roman" w:cs="Times New Roman"/>
                <w:sz w:val="24"/>
                <w:szCs w:val="24"/>
              </w:rPr>
              <w:t xml:space="preserve"> (viszonyítási érték)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hány százalékát érintik.</w:t>
            </w:r>
          </w:p>
        </w:tc>
      </w:tr>
      <w:tr w:rsidR="0031602A" w14:paraId="79D2C321" w14:textId="77777777" w:rsidTr="005E77E1">
        <w:trPr>
          <w:trHeight w:val="3678"/>
        </w:trPr>
        <w:tc>
          <w:tcPr>
            <w:tcW w:w="3070" w:type="dxa"/>
            <w:vMerge/>
            <w:vAlign w:val="center"/>
          </w:tcPr>
          <w:p w14:paraId="4C1386AE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4229249" w14:textId="77777777" w:rsidR="0031602A" w:rsidRDefault="0031602A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Valószínűségek értékelése</w:t>
            </w:r>
          </w:p>
        </w:tc>
        <w:tc>
          <w:tcPr>
            <w:tcW w:w="3071" w:type="dxa"/>
          </w:tcPr>
          <w:p w14:paraId="5D52C286" w14:textId="77777777" w:rsidR="00FF218E" w:rsidRDefault="004F38F5" w:rsidP="00FF2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döntési cél megvalósítása </w:t>
            </w:r>
            <w:r w:rsidR="00FF218E">
              <w:rPr>
                <w:rFonts w:ascii="Times New Roman" w:hAnsi="Times New Roman" w:cs="Times New Roman"/>
                <w:sz w:val="24"/>
                <w:szCs w:val="24"/>
              </w:rPr>
              <w:t>során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potenciális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veszteség elkerülése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érdekében a kockázatvállalási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hajlandóság magas, </w:t>
            </w:r>
          </w:p>
          <w:p w14:paraId="4AFD7DDF" w14:textId="77777777" w:rsidR="0031602A" w:rsidRDefault="004F38F5" w:rsidP="005E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míg a potenciális nyereség elnyerése érdekében a kockázatvállalási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hajlandóság alacsony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adott alternatíva megvalósításának</w:t>
            </w:r>
            <w:r w:rsidR="005E77E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alószínűségétől függetlenül.</w:t>
            </w:r>
          </w:p>
        </w:tc>
      </w:tr>
      <w:tr w:rsidR="0031602A" w14:paraId="2882B441" w14:textId="77777777" w:rsidTr="005E77E1">
        <w:trPr>
          <w:trHeight w:val="2399"/>
        </w:trPr>
        <w:tc>
          <w:tcPr>
            <w:tcW w:w="3070" w:type="dxa"/>
            <w:vMerge/>
            <w:vAlign w:val="center"/>
          </w:tcPr>
          <w:p w14:paraId="2594B124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45C7823" w14:textId="77777777" w:rsidR="0031602A" w:rsidRDefault="0031602A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hasznosság relatív fogalma</w:t>
            </w:r>
          </w:p>
        </w:tc>
        <w:tc>
          <w:tcPr>
            <w:tcW w:w="3071" w:type="dxa"/>
          </w:tcPr>
          <w:p w14:paraId="7A79AA2F" w14:textId="77777777" w:rsidR="0031602A" w:rsidRDefault="004F38F5" w:rsidP="00E7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hasznosságot a döntéshozó preferenciarendszerében más hasznosságaihoz képest relatív módon érzékeli, a referenciapont megváltozásával a hasznosságérzet megváltoztatható.</w:t>
            </w:r>
          </w:p>
        </w:tc>
      </w:tr>
      <w:tr w:rsidR="0031602A" w14:paraId="2588C99F" w14:textId="77777777" w:rsidTr="005E77E1">
        <w:trPr>
          <w:trHeight w:val="1554"/>
        </w:trPr>
        <w:tc>
          <w:tcPr>
            <w:tcW w:w="3070" w:type="dxa"/>
            <w:vMerge/>
            <w:vAlign w:val="center"/>
          </w:tcPr>
          <w:p w14:paraId="3949D9BC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132DD02" w14:textId="77777777" w:rsidR="0031602A" w:rsidRDefault="0031602A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Alternatívák értékelése</w:t>
            </w:r>
          </w:p>
        </w:tc>
        <w:tc>
          <w:tcPr>
            <w:tcW w:w="3071" w:type="dxa"/>
          </w:tcPr>
          <w:p w14:paraId="77557C27" w14:textId="77777777" w:rsidR="0031602A" w:rsidRDefault="004F38F5" w:rsidP="00E7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alternatívák értékelése során egyes kritériumoknak meg nem felelő alternatívák azonnal</w:t>
            </w:r>
            <w:r w:rsidR="00BA6C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kizárása a kritérium súlyának mérlegelése nélkül.</w:t>
            </w:r>
          </w:p>
        </w:tc>
      </w:tr>
      <w:tr w:rsidR="0031602A" w14:paraId="44A542EE" w14:textId="77777777" w:rsidTr="00E361BF">
        <w:tc>
          <w:tcPr>
            <w:tcW w:w="3070" w:type="dxa"/>
            <w:vAlign w:val="center"/>
          </w:tcPr>
          <w:p w14:paraId="0BABB082" w14:textId="77777777" w:rsidR="0031602A" w:rsidRDefault="0031602A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heurisztikák</w:t>
            </w:r>
          </w:p>
        </w:tc>
        <w:tc>
          <w:tcPr>
            <w:tcW w:w="3071" w:type="dxa"/>
            <w:vAlign w:val="center"/>
          </w:tcPr>
          <w:p w14:paraId="549F133D" w14:textId="77777777" w:rsidR="0031602A" w:rsidRDefault="0031602A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valószínűségek mellőzése</w:t>
            </w:r>
          </w:p>
        </w:tc>
        <w:tc>
          <w:tcPr>
            <w:tcW w:w="3071" w:type="dxa"/>
          </w:tcPr>
          <w:p w14:paraId="75B1E4D9" w14:textId="77777777" w:rsidR="0031602A" w:rsidRDefault="004F38F5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Jelenségek valószínűségi eloszlásának figyelmen kívül hagyása/helyettesítése </w:t>
            </w:r>
            <w:r w:rsidR="00E560FE">
              <w:rPr>
                <w:rFonts w:ascii="Times New Roman" w:hAnsi="Times New Roman" w:cs="Times New Roman"/>
                <w:sz w:val="24"/>
                <w:szCs w:val="24"/>
              </w:rPr>
              <w:t>korábbi döntési keret (előítélet, tapasztalat, szabály) alkalmazásával.</w:t>
            </w:r>
          </w:p>
        </w:tc>
      </w:tr>
      <w:tr w:rsidR="00E361BF" w14:paraId="0C6C7032" w14:textId="77777777" w:rsidTr="00C8164F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3058618" w14:textId="77777777" w:rsidR="00E361BF" w:rsidRPr="00EC63DB" w:rsidRDefault="00E361BF" w:rsidP="00D1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Döntéshozatali hiba jellege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5F61432" w14:textId="77777777" w:rsidR="00E361BF" w:rsidRPr="00EC63DB" w:rsidRDefault="00E361BF" w:rsidP="00D1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t>Döntéshozatali hiba megnevezése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5C7194F5" w14:textId="77777777" w:rsidR="00E361BF" w:rsidRPr="00EC63DB" w:rsidRDefault="00E361BF" w:rsidP="00D11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DB">
              <w:rPr>
                <w:rFonts w:ascii="Times New Roman" w:hAnsi="Times New Roman" w:cs="Times New Roman"/>
                <w:b/>
                <w:sz w:val="24"/>
                <w:szCs w:val="24"/>
              </w:rPr>
              <w:t>Döntéshozatali hiba rövid összegzése</w:t>
            </w:r>
          </w:p>
        </w:tc>
      </w:tr>
      <w:tr w:rsidR="00E361BF" w14:paraId="153B8CBA" w14:textId="77777777" w:rsidTr="00E361BF">
        <w:tc>
          <w:tcPr>
            <w:tcW w:w="3070" w:type="dxa"/>
            <w:vMerge w:val="restart"/>
            <w:vAlign w:val="center"/>
          </w:tcPr>
          <w:p w14:paraId="3718E4F0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heurisztikák</w:t>
            </w:r>
          </w:p>
        </w:tc>
        <w:tc>
          <w:tcPr>
            <w:tcW w:w="3071" w:type="dxa"/>
            <w:vAlign w:val="center"/>
          </w:tcPr>
          <w:p w14:paraId="51139C8F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Minta nagyságának mellőzése</w:t>
            </w:r>
          </w:p>
        </w:tc>
        <w:tc>
          <w:tcPr>
            <w:tcW w:w="3071" w:type="dxa"/>
          </w:tcPr>
          <w:p w14:paraId="7869FDD3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Korábbi döntési keretek (előítélet, tapasztalat, szabály) alkalmazása a vizsgált jelenség statisztikai tulajdonságaira tekintet nélkül.</w:t>
            </w:r>
          </w:p>
        </w:tc>
      </w:tr>
      <w:tr w:rsidR="00E361BF" w14:paraId="094E047B" w14:textId="77777777" w:rsidTr="00E361BF">
        <w:tc>
          <w:tcPr>
            <w:tcW w:w="3070" w:type="dxa"/>
            <w:vMerge/>
            <w:vAlign w:val="center"/>
          </w:tcPr>
          <w:p w14:paraId="289285D3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824C9B8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Valószínűség fogalmának félreértelmezése</w:t>
            </w:r>
          </w:p>
        </w:tc>
        <w:tc>
          <w:tcPr>
            <w:tcW w:w="3071" w:type="dxa"/>
          </w:tcPr>
          <w:p w14:paraId="565B580E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jelenségek (leggyakrabban a korreláció és a regresszió) fogalmainak összekeverése.</w:t>
            </w:r>
          </w:p>
        </w:tc>
      </w:tr>
      <w:tr w:rsidR="00E361BF" w14:paraId="72D55616" w14:textId="77777777" w:rsidTr="00E361BF">
        <w:tc>
          <w:tcPr>
            <w:tcW w:w="3070" w:type="dxa"/>
            <w:vMerge w:val="restart"/>
            <w:vAlign w:val="center"/>
          </w:tcPr>
          <w:p w14:paraId="110E8BAC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Információs csapdák</w:t>
            </w:r>
          </w:p>
        </w:tc>
        <w:tc>
          <w:tcPr>
            <w:tcW w:w="3071" w:type="dxa"/>
            <w:vAlign w:val="center"/>
          </w:tcPr>
          <w:p w14:paraId="761106AB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Információ elérhetősége</w:t>
            </w:r>
          </w:p>
        </w:tc>
        <w:tc>
          <w:tcPr>
            <w:tcW w:w="3071" w:type="dxa"/>
          </w:tcPr>
          <w:p w14:paraId="0639CF60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könnyen hozzáférhető információk relevanciájának felülsúlyozása a nehezen elérhető információk terhére.</w:t>
            </w:r>
          </w:p>
        </w:tc>
      </w:tr>
      <w:tr w:rsidR="00E361BF" w14:paraId="600A4BC6" w14:textId="77777777" w:rsidTr="00E361BF">
        <w:tc>
          <w:tcPr>
            <w:tcW w:w="3070" w:type="dxa"/>
            <w:vMerge/>
            <w:vAlign w:val="center"/>
          </w:tcPr>
          <w:p w14:paraId="7D547D61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D5AE7F4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Információ konzisztenciája</w:t>
            </w:r>
          </w:p>
        </w:tc>
        <w:tc>
          <w:tcPr>
            <w:tcW w:w="3071" w:type="dxa"/>
          </w:tcPr>
          <w:p w14:paraId="13813CE8" w14:textId="77777777" w:rsidR="00E361BF" w:rsidRDefault="00E361BF" w:rsidP="00E72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előzetesen racionális tűnő alternatívához nem illeszkedő információk kizárása.</w:t>
            </w:r>
          </w:p>
        </w:tc>
      </w:tr>
      <w:tr w:rsidR="00E361BF" w14:paraId="7872B28F" w14:textId="77777777" w:rsidTr="00E361BF">
        <w:tc>
          <w:tcPr>
            <w:tcW w:w="3070" w:type="dxa"/>
            <w:vMerge/>
            <w:vAlign w:val="center"/>
          </w:tcPr>
          <w:p w14:paraId="0609CD50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1163C7F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Keresési hatékonyság torzítása</w:t>
            </w:r>
          </w:p>
        </w:tc>
        <w:tc>
          <w:tcPr>
            <w:tcW w:w="3071" w:type="dxa"/>
          </w:tcPr>
          <w:p w14:paraId="0D1BA417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Gyakorta használt információk felülsúlyozása a ritkán, vagy sosem használt információk terhére.</w:t>
            </w:r>
          </w:p>
        </w:tc>
      </w:tr>
      <w:tr w:rsidR="00E361BF" w14:paraId="273787B1" w14:textId="77777777" w:rsidTr="00E361BF">
        <w:tc>
          <w:tcPr>
            <w:tcW w:w="3070" w:type="dxa"/>
            <w:vMerge/>
            <w:vAlign w:val="center"/>
          </w:tcPr>
          <w:p w14:paraId="63391E98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15796CB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képzelet buktatói</w:t>
            </w:r>
          </w:p>
        </w:tc>
        <w:tc>
          <w:tcPr>
            <w:tcW w:w="3071" w:type="dxa"/>
          </w:tcPr>
          <w:p w14:paraId="3840C0F7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nem ismert információk helyettesítése vélt adatokkal.</w:t>
            </w:r>
          </w:p>
        </w:tc>
      </w:tr>
      <w:tr w:rsidR="00E361BF" w14:paraId="20EC0926" w14:textId="77777777" w:rsidTr="00E361BF">
        <w:tc>
          <w:tcPr>
            <w:tcW w:w="3070" w:type="dxa"/>
            <w:vMerge/>
            <w:vAlign w:val="center"/>
          </w:tcPr>
          <w:p w14:paraId="185D617A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5171466F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Ismertség torzítása</w:t>
            </w:r>
          </w:p>
        </w:tc>
        <w:tc>
          <w:tcPr>
            <w:tcW w:w="3071" w:type="dxa"/>
          </w:tcPr>
          <w:p w14:paraId="01A7E43F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ismert adatok felülsúlyozása az ismeretlenek terhére.</w:t>
            </w:r>
          </w:p>
        </w:tc>
      </w:tr>
      <w:tr w:rsidR="00E361BF" w14:paraId="4FFC6E7F" w14:textId="77777777" w:rsidTr="00E361BF">
        <w:tc>
          <w:tcPr>
            <w:tcW w:w="3070" w:type="dxa"/>
            <w:vMerge/>
            <w:vAlign w:val="center"/>
          </w:tcPr>
          <w:p w14:paraId="1A27BC7E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176E9E8" w14:textId="77777777" w:rsidR="00E361BF" w:rsidRDefault="00E361BF" w:rsidP="00E3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Információ frissessége</w:t>
            </w:r>
          </w:p>
        </w:tc>
        <w:tc>
          <w:tcPr>
            <w:tcW w:w="3071" w:type="dxa"/>
          </w:tcPr>
          <w:p w14:paraId="49F826FC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legutóbbi adatok értékének felülsúlyozása az idősorok tendenciáinak terhére.</w:t>
            </w:r>
          </w:p>
        </w:tc>
      </w:tr>
      <w:tr w:rsidR="00E361BF" w14:paraId="2FD1D089" w14:textId="77777777" w:rsidTr="00D11F13">
        <w:tc>
          <w:tcPr>
            <w:tcW w:w="3070" w:type="dxa"/>
            <w:vMerge w:val="restart"/>
            <w:vAlign w:val="center"/>
          </w:tcPr>
          <w:p w14:paraId="2227DCC6" w14:textId="77777777" w:rsidR="00E361BF" w:rsidRDefault="00E361BF" w:rsidP="0031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Horgonyhatások</w:t>
            </w:r>
          </w:p>
        </w:tc>
        <w:tc>
          <w:tcPr>
            <w:tcW w:w="3071" w:type="dxa"/>
            <w:vAlign w:val="center"/>
          </w:tcPr>
          <w:p w14:paraId="6E4D5B36" w14:textId="77777777" w:rsidR="00E361BF" w:rsidRDefault="00E361BF" w:rsidP="00D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Kiindulási értékből adódó horgonyhatás</w:t>
            </w:r>
          </w:p>
        </w:tc>
        <w:tc>
          <w:tcPr>
            <w:tcW w:w="3071" w:type="dxa"/>
          </w:tcPr>
          <w:p w14:paraId="28B12B2B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döntéshozó – információhiányos szituációban – minden további értéket az elsőként kapott adat tükrében értékel.</w:t>
            </w:r>
          </w:p>
        </w:tc>
      </w:tr>
      <w:tr w:rsidR="00E361BF" w14:paraId="44671D5C" w14:textId="77777777" w:rsidTr="00D11F13">
        <w:tc>
          <w:tcPr>
            <w:tcW w:w="3070" w:type="dxa"/>
            <w:vMerge/>
          </w:tcPr>
          <w:p w14:paraId="1F39EF4A" w14:textId="77777777" w:rsidR="00E361BF" w:rsidRDefault="00E361BF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0C9DA35B" w14:textId="77777777" w:rsidR="00E361BF" w:rsidRDefault="00D11F13" w:rsidP="00D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Strukturális horgonyhatás</w:t>
            </w:r>
          </w:p>
        </w:tc>
        <w:tc>
          <w:tcPr>
            <w:tcW w:w="3071" w:type="dxa"/>
          </w:tcPr>
          <w:p w14:paraId="169099C0" w14:textId="77777777" w:rsidR="00E361BF" w:rsidRDefault="003D73B8" w:rsidP="00D1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Egymásra épülő esemény bekövetkezési valószínűségét a döntéshozó kizárólag a legkockázatosabb részesemény valószínűsége alapján ítéli meg</w:t>
            </w:r>
            <w:r w:rsidR="005E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DE3E9E" w14:textId="7D9F828E" w:rsidR="00F31680" w:rsidRDefault="00F31680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84B5" w14:textId="77777777" w:rsidR="00F31680" w:rsidRDefault="00F31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F99A41" w14:textId="70D00F28" w:rsidR="001B7CDA" w:rsidRPr="00E729E6" w:rsidRDefault="00F31680" w:rsidP="00E72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78E27806" wp14:editId="40CF3246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CDA" w:rsidRPr="00E7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777E88" w15:done="0"/>
  <w15:commentEx w15:paraId="0C1621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77E88" w16cid:durableId="1F4AB530"/>
  <w16cid:commentId w16cid:paraId="0C16216E" w16cid:durableId="1F4258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C065F" w14:textId="77777777" w:rsidR="00D6682A" w:rsidRDefault="00D6682A" w:rsidP="00F41989">
      <w:pPr>
        <w:spacing w:after="0" w:line="240" w:lineRule="auto"/>
      </w:pPr>
      <w:r>
        <w:separator/>
      </w:r>
    </w:p>
  </w:endnote>
  <w:endnote w:type="continuationSeparator" w:id="0">
    <w:p w14:paraId="77BF8619" w14:textId="77777777" w:rsidR="00D6682A" w:rsidRDefault="00D6682A" w:rsidP="00F4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4BA7" w14:textId="77777777" w:rsidR="00D6682A" w:rsidRDefault="00D6682A" w:rsidP="00F41989">
      <w:pPr>
        <w:spacing w:after="0" w:line="240" w:lineRule="auto"/>
      </w:pPr>
      <w:r>
        <w:separator/>
      </w:r>
    </w:p>
  </w:footnote>
  <w:footnote w:type="continuationSeparator" w:id="0">
    <w:p w14:paraId="5C0DA8D7" w14:textId="77777777" w:rsidR="00D6682A" w:rsidRDefault="00D6682A" w:rsidP="00F41989">
      <w:pPr>
        <w:spacing w:after="0" w:line="240" w:lineRule="auto"/>
      </w:pPr>
      <w:r>
        <w:continuationSeparator/>
      </w:r>
    </w:p>
  </w:footnote>
  <w:footnote w:id="1">
    <w:p w14:paraId="5DBBB4A5" w14:textId="77777777" w:rsidR="00A845C5" w:rsidRDefault="00A845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10EAC">
        <w:rPr>
          <w:bCs/>
        </w:rPr>
        <w:t xml:space="preserve">Henry </w:t>
      </w:r>
      <w:proofErr w:type="spellStart"/>
      <w:r w:rsidRPr="00310EAC">
        <w:rPr>
          <w:bCs/>
        </w:rPr>
        <w:t>Mintzberg</w:t>
      </w:r>
      <w:proofErr w:type="spellEnd"/>
      <w:r w:rsidRPr="00310EAC">
        <w:rPr>
          <w:bCs/>
        </w:rPr>
        <w:t xml:space="preserve">, Bruce </w:t>
      </w:r>
      <w:proofErr w:type="spellStart"/>
      <w:r w:rsidRPr="00310EAC">
        <w:rPr>
          <w:bCs/>
        </w:rPr>
        <w:t>Ahlstrand</w:t>
      </w:r>
      <w:proofErr w:type="spellEnd"/>
      <w:r w:rsidRPr="00310EAC">
        <w:rPr>
          <w:bCs/>
        </w:rPr>
        <w:t xml:space="preserve">, Joseph </w:t>
      </w:r>
      <w:proofErr w:type="spellStart"/>
      <w:r w:rsidRPr="00310EAC">
        <w:rPr>
          <w:bCs/>
        </w:rPr>
        <w:t>Lampel</w:t>
      </w:r>
      <w:proofErr w:type="spellEnd"/>
      <w:r w:rsidRPr="00310EAC">
        <w:rPr>
          <w:bCs/>
        </w:rPr>
        <w:t xml:space="preserve"> (ford. Kállai Tibor): Stratégiai Szafari: Útbaigazítás a stratégiai menedzsmentben, HVG Rt., Budapest, 2005.</w:t>
      </w:r>
    </w:p>
  </w:footnote>
  <w:footnote w:id="2">
    <w:p w14:paraId="050DF96F" w14:textId="77777777" w:rsidR="002C5C71" w:rsidRDefault="002C5C71" w:rsidP="002C5C7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12F98">
        <w:t xml:space="preserve">Barakonyi, K. (1998): </w:t>
      </w:r>
      <w:r w:rsidRPr="00612F98">
        <w:rPr>
          <w:rFonts w:cs="Arial"/>
          <w:bCs/>
          <w:color w:val="000000"/>
        </w:rPr>
        <w:t>Stratégiai döntések: Csapdák - Buktatók - Megoldások,</w:t>
      </w:r>
      <w:r>
        <w:rPr>
          <w:rFonts w:cs="Arial"/>
          <w:bCs/>
          <w:color w:val="000000"/>
        </w:rPr>
        <w:t xml:space="preserve"> </w:t>
      </w:r>
      <w:r w:rsidRPr="00612F98">
        <w:rPr>
          <w:rFonts w:cs="Arial"/>
          <w:bCs/>
          <w:color w:val="000000"/>
        </w:rPr>
        <w:t xml:space="preserve">Janus Pannonius Tudományegyetem </w:t>
      </w:r>
      <w:proofErr w:type="spellStart"/>
      <w:r w:rsidRPr="00612F98">
        <w:rPr>
          <w:rFonts w:cs="Arial"/>
          <w:bCs/>
          <w:color w:val="000000"/>
        </w:rPr>
        <w:t>Felnõttképzési</w:t>
      </w:r>
      <w:proofErr w:type="spellEnd"/>
      <w:r w:rsidRPr="00612F98">
        <w:rPr>
          <w:rFonts w:cs="Arial"/>
          <w:bCs/>
          <w:color w:val="000000"/>
        </w:rPr>
        <w:t xml:space="preserve"> és Emberi </w:t>
      </w:r>
      <w:proofErr w:type="spellStart"/>
      <w:r w:rsidRPr="00612F98">
        <w:rPr>
          <w:rFonts w:cs="Arial"/>
          <w:bCs/>
          <w:color w:val="000000"/>
        </w:rPr>
        <w:t>Erõforrás</w:t>
      </w:r>
      <w:proofErr w:type="spellEnd"/>
      <w:r w:rsidRPr="00612F98">
        <w:rPr>
          <w:rFonts w:cs="Arial"/>
          <w:bCs/>
          <w:color w:val="000000"/>
        </w:rPr>
        <w:t xml:space="preserve"> Fejlesztési Intézete, Pécs</w:t>
      </w:r>
    </w:p>
  </w:footnote>
  <w:footnote w:id="3">
    <w:p w14:paraId="0426C27D" w14:textId="77777777" w:rsidR="002C5C71" w:rsidRDefault="002C5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12F98">
        <w:t xml:space="preserve">Barakonyi, K. (1998): </w:t>
      </w:r>
      <w:r w:rsidRPr="00612F98">
        <w:rPr>
          <w:rFonts w:cs="Arial"/>
          <w:bCs/>
          <w:color w:val="000000"/>
        </w:rPr>
        <w:t>Stratégiai döntések: Csapdák - Buktatók - Megoldások,</w:t>
      </w:r>
      <w:r>
        <w:rPr>
          <w:rFonts w:cs="Arial"/>
          <w:bCs/>
          <w:color w:val="000000"/>
        </w:rPr>
        <w:t xml:space="preserve"> </w:t>
      </w:r>
      <w:r w:rsidRPr="00612F98">
        <w:rPr>
          <w:rFonts w:cs="Arial"/>
          <w:bCs/>
          <w:color w:val="000000"/>
        </w:rPr>
        <w:t xml:space="preserve">Janus Pannonius Tudományegyetem </w:t>
      </w:r>
      <w:proofErr w:type="spellStart"/>
      <w:r w:rsidRPr="00612F98">
        <w:rPr>
          <w:rFonts w:cs="Arial"/>
          <w:bCs/>
          <w:color w:val="000000"/>
        </w:rPr>
        <w:t>Felnõttképzési</w:t>
      </w:r>
      <w:proofErr w:type="spellEnd"/>
      <w:r w:rsidRPr="00612F98">
        <w:rPr>
          <w:rFonts w:cs="Arial"/>
          <w:bCs/>
          <w:color w:val="000000"/>
        </w:rPr>
        <w:t xml:space="preserve"> és Emberi </w:t>
      </w:r>
      <w:proofErr w:type="spellStart"/>
      <w:r w:rsidRPr="00612F98">
        <w:rPr>
          <w:rFonts w:cs="Arial"/>
          <w:bCs/>
          <w:color w:val="000000"/>
        </w:rPr>
        <w:t>Erõforrás</w:t>
      </w:r>
      <w:proofErr w:type="spellEnd"/>
      <w:r w:rsidRPr="00612F98">
        <w:rPr>
          <w:rFonts w:cs="Arial"/>
          <w:bCs/>
          <w:color w:val="000000"/>
        </w:rPr>
        <w:t xml:space="preserve"> Fejlesztési Intézete, Pécs</w:t>
      </w:r>
    </w:p>
  </w:footnote>
  <w:footnote w:id="4">
    <w:p w14:paraId="5DFFDA80" w14:textId="77777777" w:rsidR="002C5C71" w:rsidRDefault="002C5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12F98">
        <w:t xml:space="preserve">Barakonyi, K. (1998): </w:t>
      </w:r>
      <w:r w:rsidRPr="00612F98">
        <w:rPr>
          <w:rFonts w:cs="Arial"/>
          <w:bCs/>
          <w:color w:val="000000"/>
        </w:rPr>
        <w:t>Stratégiai döntések: Csapdák - Buktatók - Megoldások,</w:t>
      </w:r>
      <w:r>
        <w:rPr>
          <w:rFonts w:cs="Arial"/>
          <w:bCs/>
          <w:color w:val="000000"/>
        </w:rPr>
        <w:t xml:space="preserve"> </w:t>
      </w:r>
      <w:r w:rsidRPr="00612F98">
        <w:rPr>
          <w:rFonts w:cs="Arial"/>
          <w:bCs/>
          <w:color w:val="000000"/>
        </w:rPr>
        <w:t xml:space="preserve">Janus Pannonius Tudományegyetem </w:t>
      </w:r>
      <w:proofErr w:type="spellStart"/>
      <w:r w:rsidRPr="00612F98">
        <w:rPr>
          <w:rFonts w:cs="Arial"/>
          <w:bCs/>
          <w:color w:val="000000"/>
        </w:rPr>
        <w:t>Felnõttképzési</w:t>
      </w:r>
      <w:proofErr w:type="spellEnd"/>
      <w:r w:rsidRPr="00612F98">
        <w:rPr>
          <w:rFonts w:cs="Arial"/>
          <w:bCs/>
          <w:color w:val="000000"/>
        </w:rPr>
        <w:t xml:space="preserve"> és Emberi </w:t>
      </w:r>
      <w:proofErr w:type="spellStart"/>
      <w:r w:rsidRPr="00612F98">
        <w:rPr>
          <w:rFonts w:cs="Arial"/>
          <w:bCs/>
          <w:color w:val="000000"/>
        </w:rPr>
        <w:t>Erõforrás</w:t>
      </w:r>
      <w:proofErr w:type="spellEnd"/>
      <w:r w:rsidRPr="00612F98">
        <w:rPr>
          <w:rFonts w:cs="Arial"/>
          <w:bCs/>
          <w:color w:val="000000"/>
        </w:rPr>
        <w:t xml:space="preserve"> Fejlesztési Intézete, Pécs</w:t>
      </w:r>
    </w:p>
  </w:footnote>
  <w:footnote w:id="5">
    <w:p w14:paraId="3B6E36F8" w14:textId="77777777" w:rsidR="002C5C71" w:rsidRDefault="002C5C71" w:rsidP="00A845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12F98">
        <w:t xml:space="preserve">Barakonyi, K. (1998): </w:t>
      </w:r>
      <w:r w:rsidRPr="00612F98">
        <w:rPr>
          <w:rFonts w:cs="Arial"/>
          <w:bCs/>
          <w:color w:val="000000"/>
        </w:rPr>
        <w:t>Stratégiai döntések: Csapdák - Buktatók - Megoldások,</w:t>
      </w:r>
      <w:r>
        <w:rPr>
          <w:rFonts w:cs="Arial"/>
          <w:bCs/>
          <w:color w:val="000000"/>
        </w:rPr>
        <w:t xml:space="preserve"> </w:t>
      </w:r>
      <w:r w:rsidRPr="00612F98">
        <w:rPr>
          <w:rFonts w:cs="Arial"/>
          <w:bCs/>
          <w:color w:val="000000"/>
        </w:rPr>
        <w:t xml:space="preserve">Janus Pannonius Tudományegyetem </w:t>
      </w:r>
      <w:proofErr w:type="spellStart"/>
      <w:r w:rsidRPr="00612F98">
        <w:rPr>
          <w:rFonts w:cs="Arial"/>
          <w:bCs/>
          <w:color w:val="000000"/>
        </w:rPr>
        <w:t>Felnõttképzési</w:t>
      </w:r>
      <w:proofErr w:type="spellEnd"/>
      <w:r w:rsidRPr="00612F98">
        <w:rPr>
          <w:rFonts w:cs="Arial"/>
          <w:bCs/>
          <w:color w:val="000000"/>
        </w:rPr>
        <w:t xml:space="preserve"> és Emberi </w:t>
      </w:r>
      <w:proofErr w:type="spellStart"/>
      <w:r w:rsidRPr="00612F98">
        <w:rPr>
          <w:rFonts w:cs="Arial"/>
          <w:bCs/>
          <w:color w:val="000000"/>
        </w:rPr>
        <w:t>Erõforrás</w:t>
      </w:r>
      <w:proofErr w:type="spellEnd"/>
      <w:r w:rsidRPr="00612F98">
        <w:rPr>
          <w:rFonts w:cs="Arial"/>
          <w:bCs/>
          <w:color w:val="000000"/>
        </w:rPr>
        <w:t xml:space="preserve"> Fejlesztési Intézete, Pécs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DC"/>
    <w:multiLevelType w:val="hybridMultilevel"/>
    <w:tmpl w:val="156A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620"/>
    <w:multiLevelType w:val="hybridMultilevel"/>
    <w:tmpl w:val="360A9162"/>
    <w:lvl w:ilvl="0" w:tplc="FEB29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C5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43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41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EF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E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6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60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48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8B5"/>
    <w:multiLevelType w:val="hybridMultilevel"/>
    <w:tmpl w:val="6D3C1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0F1"/>
    <w:multiLevelType w:val="hybridMultilevel"/>
    <w:tmpl w:val="A3ECFF66"/>
    <w:lvl w:ilvl="0" w:tplc="76287E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8E5735"/>
    <w:multiLevelType w:val="hybridMultilevel"/>
    <w:tmpl w:val="96E0A3F4"/>
    <w:lvl w:ilvl="0" w:tplc="5F6AF8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84C"/>
    <w:multiLevelType w:val="hybridMultilevel"/>
    <w:tmpl w:val="230E2CFE"/>
    <w:lvl w:ilvl="0" w:tplc="76287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43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41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EF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E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6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60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848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F23DE"/>
    <w:multiLevelType w:val="singleLevel"/>
    <w:tmpl w:val="C6BA7A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AF03ECD"/>
    <w:multiLevelType w:val="hybridMultilevel"/>
    <w:tmpl w:val="88DA8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30B7"/>
    <w:multiLevelType w:val="hybridMultilevel"/>
    <w:tmpl w:val="32625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1615"/>
    <w:multiLevelType w:val="hybridMultilevel"/>
    <w:tmpl w:val="3ECED756"/>
    <w:lvl w:ilvl="0" w:tplc="35902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tta Kálmán">
    <w15:presenceInfo w15:providerId="Windows Live" w15:userId="288a042b4bade215"/>
  </w15:person>
  <w15:person w15:author="Mátó Ágnes">
    <w15:presenceInfo w15:providerId="None" w15:userId="Mátó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7"/>
    <w:rsid w:val="00084E90"/>
    <w:rsid w:val="000E5903"/>
    <w:rsid w:val="000E7A8C"/>
    <w:rsid w:val="00114F22"/>
    <w:rsid w:val="00153900"/>
    <w:rsid w:val="00171F0D"/>
    <w:rsid w:val="00175DB8"/>
    <w:rsid w:val="001B7CDA"/>
    <w:rsid w:val="001D23BC"/>
    <w:rsid w:val="00236603"/>
    <w:rsid w:val="00257FCA"/>
    <w:rsid w:val="002A65E5"/>
    <w:rsid w:val="002C5C71"/>
    <w:rsid w:val="002D3895"/>
    <w:rsid w:val="002F30A2"/>
    <w:rsid w:val="0031602A"/>
    <w:rsid w:val="0036739F"/>
    <w:rsid w:val="003A79D1"/>
    <w:rsid w:val="003D60DA"/>
    <w:rsid w:val="003D73B8"/>
    <w:rsid w:val="004510DB"/>
    <w:rsid w:val="00495BD3"/>
    <w:rsid w:val="004F0E38"/>
    <w:rsid w:val="004F38F5"/>
    <w:rsid w:val="00554CD1"/>
    <w:rsid w:val="005717E8"/>
    <w:rsid w:val="00585969"/>
    <w:rsid w:val="005B7358"/>
    <w:rsid w:val="005E162C"/>
    <w:rsid w:val="005E77E1"/>
    <w:rsid w:val="006B1166"/>
    <w:rsid w:val="00717C31"/>
    <w:rsid w:val="007327FF"/>
    <w:rsid w:val="00750CF1"/>
    <w:rsid w:val="007A384B"/>
    <w:rsid w:val="007D452E"/>
    <w:rsid w:val="0084514B"/>
    <w:rsid w:val="0085426D"/>
    <w:rsid w:val="0086739C"/>
    <w:rsid w:val="008C295E"/>
    <w:rsid w:val="008C560C"/>
    <w:rsid w:val="008C6BBE"/>
    <w:rsid w:val="008D59AB"/>
    <w:rsid w:val="008F1FA9"/>
    <w:rsid w:val="00935A53"/>
    <w:rsid w:val="00983017"/>
    <w:rsid w:val="009D3B85"/>
    <w:rsid w:val="009F485A"/>
    <w:rsid w:val="00A845C5"/>
    <w:rsid w:val="00AE7D7C"/>
    <w:rsid w:val="00AE7F4D"/>
    <w:rsid w:val="00B026B2"/>
    <w:rsid w:val="00BA5B97"/>
    <w:rsid w:val="00BA6CCE"/>
    <w:rsid w:val="00BB55E9"/>
    <w:rsid w:val="00C136DC"/>
    <w:rsid w:val="00C21683"/>
    <w:rsid w:val="00C63A6C"/>
    <w:rsid w:val="00C74768"/>
    <w:rsid w:val="00C77D39"/>
    <w:rsid w:val="00C8164F"/>
    <w:rsid w:val="00CB0C8E"/>
    <w:rsid w:val="00CC0300"/>
    <w:rsid w:val="00D11F13"/>
    <w:rsid w:val="00D34373"/>
    <w:rsid w:val="00D35457"/>
    <w:rsid w:val="00D610EA"/>
    <w:rsid w:val="00D6682A"/>
    <w:rsid w:val="00D94987"/>
    <w:rsid w:val="00DA7631"/>
    <w:rsid w:val="00E03468"/>
    <w:rsid w:val="00E361BF"/>
    <w:rsid w:val="00E5288B"/>
    <w:rsid w:val="00E560FE"/>
    <w:rsid w:val="00E729E6"/>
    <w:rsid w:val="00EC63DB"/>
    <w:rsid w:val="00EF5973"/>
    <w:rsid w:val="00F31680"/>
    <w:rsid w:val="00F3308F"/>
    <w:rsid w:val="00F375EF"/>
    <w:rsid w:val="00F41989"/>
    <w:rsid w:val="00F6631A"/>
    <w:rsid w:val="00FD74BF"/>
    <w:rsid w:val="00FE55FB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4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3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F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F4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19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41989"/>
    <w:rPr>
      <w:vertAlign w:val="superscript"/>
    </w:rPr>
  </w:style>
  <w:style w:type="table" w:styleId="Rcsostblzat">
    <w:name w:val="Table Grid"/>
    <w:basedOn w:val="Normltblzat"/>
    <w:uiPriority w:val="59"/>
    <w:rsid w:val="00EC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E77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7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77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7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77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4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3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7F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F4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19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41989"/>
    <w:rPr>
      <w:vertAlign w:val="superscript"/>
    </w:rPr>
  </w:style>
  <w:style w:type="table" w:styleId="Rcsostblzat">
    <w:name w:val="Table Grid"/>
    <w:basedOn w:val="Normltblzat"/>
    <w:uiPriority w:val="59"/>
    <w:rsid w:val="00EC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E77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7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77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7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7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C62F-5822-49AB-89FA-23E73F2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1682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Vilmanyi Marton</dc:creator>
  <cp:lastModifiedBy>Farkas Zsoka</cp:lastModifiedBy>
  <cp:revision>3</cp:revision>
  <cp:lastPrinted>2018-04-30T07:58:00Z</cp:lastPrinted>
  <dcterms:created xsi:type="dcterms:W3CDTF">2018-09-21T13:31:00Z</dcterms:created>
  <dcterms:modified xsi:type="dcterms:W3CDTF">2018-11-15T16:19:00Z</dcterms:modified>
</cp:coreProperties>
</file>