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74" w:rsidRDefault="00B91E74" w:rsidP="00B91E74">
      <w:pPr>
        <w:pStyle w:val="Cmsor1"/>
        <w:numPr>
          <w:ilvl w:val="0"/>
          <w:numId w:val="0"/>
        </w:numPr>
        <w:spacing w:line="276" w:lineRule="auto"/>
      </w:pPr>
      <w:r>
        <w:t xml:space="preserve">Olvasólecke időigénye: </w:t>
      </w:r>
      <w:r w:rsidR="00147AB1">
        <w:t>5</w:t>
      </w:r>
      <w:r>
        <w:t xml:space="preserve"> perc, készítette: Kürtösi Zsófia</w:t>
      </w:r>
    </w:p>
    <w:p w:rsidR="00B91E74" w:rsidRPr="00574090" w:rsidRDefault="00B91E74" w:rsidP="00B91E74">
      <w:pPr>
        <w:pStyle w:val="Cmsor1"/>
        <w:numPr>
          <w:ilvl w:val="0"/>
          <w:numId w:val="0"/>
        </w:numPr>
        <w:rPr>
          <w:caps/>
        </w:rPr>
      </w:pPr>
      <w:r w:rsidRPr="00574090">
        <w:rPr>
          <w:caps/>
        </w:rPr>
        <w:t xml:space="preserve">A </w:t>
      </w:r>
      <w:r>
        <w:rPr>
          <w:caps/>
        </w:rPr>
        <w:t>MUNKAKÖR-ÉRTÉKELÉS</w:t>
      </w:r>
      <w:r w:rsidR="00D07FA9">
        <w:rPr>
          <w:caps/>
        </w:rPr>
        <w:t xml:space="preserve"> előmyei, hátrányai, </w:t>
      </w:r>
      <w:proofErr w:type="gramStart"/>
      <w:r w:rsidR="00D07FA9">
        <w:rPr>
          <w:caps/>
        </w:rPr>
        <w:t>a</w:t>
      </w:r>
      <w:proofErr w:type="gramEnd"/>
      <w:r w:rsidR="00D07FA9">
        <w:rPr>
          <w:caps/>
        </w:rPr>
        <w:t xml:space="preserve"> mellette és ellene szóló érvek</w:t>
      </w:r>
    </w:p>
    <w:p w:rsidR="00D07FA9" w:rsidRPr="00C40C8B" w:rsidRDefault="00D07FA9" w:rsidP="00D07FA9">
      <w:pPr>
        <w:pStyle w:val="Szvegtrzsbehzssal3"/>
        <w:spacing w:line="276" w:lineRule="auto"/>
        <w:ind w:firstLine="0"/>
      </w:pPr>
      <w:r w:rsidRPr="00C40C8B">
        <w:t xml:space="preserve">Egy megfelelően kialakított </w:t>
      </w:r>
      <w:r>
        <w:t>munkakör-értékelés</w:t>
      </w:r>
      <w:r w:rsidRPr="00C40C8B">
        <w:t xml:space="preserve"> esetén a munkavállalók a bérstruktúrát igazságosabbnak érzik majd, a formális értékelés sokkal védhetőbbé teszi a bérezési rendszert. Az analitikus modellek alkalmazásával jobban tartható az „egyenlő értékű munkáért egyenlő bért” elve. Nem mellékes az sem, hogy transzparenssé teszi a szervezet munkaköri felépítését, a munkakörök egymáshoz való viszonyát, ezáltal a </w:t>
      </w:r>
      <w:proofErr w:type="spellStart"/>
      <w:r w:rsidRPr="00C40C8B">
        <w:t>karrierutakat</w:t>
      </w:r>
      <w:proofErr w:type="spellEnd"/>
      <w:r w:rsidRPr="00C40C8B">
        <w:t>.</w:t>
      </w:r>
    </w:p>
    <w:p w:rsidR="00D07FA9" w:rsidRDefault="00D07FA9" w:rsidP="00D07FA9">
      <w:pPr>
        <w:pStyle w:val="Szvegtrzsbehzssal3"/>
        <w:spacing w:line="276" w:lineRule="auto"/>
      </w:pPr>
    </w:p>
    <w:p w:rsidR="00D07FA9" w:rsidRPr="00C40C8B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 w:rsidRPr="00C40C8B">
        <w:rPr>
          <w:sz w:val="20"/>
          <w:lang w:val="hu-HU"/>
        </w:rPr>
        <w:t>A 2007-es Országos HR Benchmark Felmérés szerint, melyben 271 hazai vállalat vett részt (dolgozók száma 309 ezer fő), a megkérdezett szervezeteknek valamivel kevesebb, mint kétharmada készített munkakör</w:t>
      </w:r>
      <w:r>
        <w:rPr>
          <w:sz w:val="20"/>
          <w:lang w:val="hu-HU"/>
        </w:rPr>
        <w:t>-</w:t>
      </w:r>
      <w:r w:rsidRPr="00C40C8B">
        <w:rPr>
          <w:sz w:val="20"/>
          <w:lang w:val="hu-HU"/>
        </w:rPr>
        <w:t>értékelést. A leggyakoribb a pontozásos eljárás, de a szervezetek több módszert is alkalmaztak párhuzamosan. A rendszer kialakítása és bevezetése átlagosan 5,</w:t>
      </w:r>
      <w:proofErr w:type="spellStart"/>
      <w:r w:rsidRPr="00C40C8B">
        <w:rPr>
          <w:sz w:val="20"/>
          <w:lang w:val="hu-HU"/>
        </w:rPr>
        <w:t>5</w:t>
      </w:r>
      <w:proofErr w:type="spellEnd"/>
      <w:r w:rsidRPr="00C40C8B">
        <w:rPr>
          <w:sz w:val="20"/>
          <w:lang w:val="hu-HU"/>
        </w:rPr>
        <w:t xml:space="preserve"> hónapot vett igénybe. Ez nagyban függ a vállalatok méretétől. Adott esetben nem csak a vállalaton belül végezhető el az értékelés, hanem kiterjeszthető a vállalatcsoportra is, ami tovább növeli az időigényt.</w:t>
      </w:r>
    </w:p>
    <w:p w:rsidR="00D07FA9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 w:rsidRPr="00C40C8B">
        <w:rPr>
          <w:sz w:val="20"/>
          <w:lang w:val="hu-HU"/>
        </w:rPr>
        <w:t xml:space="preserve">A szakszervezetek nem feltétlenül lelkesednek annyira a munkakör-értékelésért, mint a vezetők, akik szerint ez az eljárás átlátható és konzisztens munkaköri struktúrát teremthet. A szakszervezeti ellenállást a nem megfelelő kommunikáció is okozhatja, de problémát jelenthet az, hogy – a top-down módszer miatt (azaz a vezetői munkakörökkel kezdődik az értékelés) – a </w:t>
      </w:r>
      <w:r>
        <w:rPr>
          <w:sz w:val="20"/>
          <w:lang w:val="hu-HU"/>
        </w:rPr>
        <w:t>munkakör-értékelés</w:t>
      </w:r>
      <w:r w:rsidRPr="00C40C8B">
        <w:rPr>
          <w:sz w:val="20"/>
          <w:lang w:val="hu-HU"/>
        </w:rPr>
        <w:t xml:space="preserve"> során nem veszik eléggé figyelembe a környezeti igénybevételt, így a fizikai vagy veszélyes munkakörök leértékelődnek.</w:t>
      </w:r>
    </w:p>
    <w:p w:rsidR="00D07FA9" w:rsidRPr="00C40C8B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>
        <w:rPr>
          <w:sz w:val="20"/>
          <w:lang w:val="hu-HU"/>
        </w:rPr>
        <w:t xml:space="preserve">Probléma az is, hogy a szakszervezet (ill. a munkavállalók) nehezen fogadják el, hogy a munkakör értékelése során nem vehetők figyelembe az egyéni munkavállalói különbségek: a munkakör-értékelés alapján egy raktárosi munkakörben dolgozó akkor is ugyanabban a bérsávban fog keresni, ha </w:t>
      </w:r>
      <w:proofErr w:type="gramStart"/>
      <w:r>
        <w:rPr>
          <w:sz w:val="20"/>
          <w:lang w:val="hu-HU"/>
        </w:rPr>
        <w:t>3</w:t>
      </w:r>
      <w:proofErr w:type="gramEnd"/>
      <w:r>
        <w:rPr>
          <w:sz w:val="20"/>
          <w:lang w:val="hu-HU"/>
        </w:rPr>
        <w:t xml:space="preserve"> vagy ha 10 éve tölti be a munkakört. A tapasztalat persze figyelembe vehető a munkakör-értékelésnél, de ha egy raktárosi munkakör betöltéséhez 2 év tapasztalat elegendő, akkor értékét ez fogja meghatározni, függetlenül attól, hogy a raktárosok közt van, aki 10 és van, aki 8 éves gyakorlattal tölti be a munkakört. Egy lehetséges kiküszöbölési mód az, ha definiálunk egy </w:t>
      </w:r>
      <w:proofErr w:type="spellStart"/>
      <w:r>
        <w:rPr>
          <w:sz w:val="20"/>
          <w:lang w:val="hu-HU"/>
        </w:rPr>
        <w:t>senior</w:t>
      </w:r>
      <w:proofErr w:type="spellEnd"/>
      <w:r>
        <w:rPr>
          <w:sz w:val="20"/>
          <w:lang w:val="hu-HU"/>
        </w:rPr>
        <w:t xml:space="preserve"> raktáros munkakört, ahol az előírt tapasztalat 8 év, így már díjazhatók azok, akik nagy tapasztalattal töltik be a posztot. Egyéb lehetőség, ha nem az alapbérben, hanem valamelyik másik bérelemben jelenik meg az eltöltött idő, ekkor nem feltétlenül a tapasztalatot, hanem a lojalitást (cégnél eltöltött időt) díjazzuk pl. törzsgárda jutalom formájában, de ez egy munkakör-értékelésen kívül eső eljárás, döntés.</w:t>
      </w:r>
    </w:p>
    <w:p w:rsidR="00D07FA9" w:rsidRPr="0072472C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i/>
          <w:sz w:val="20"/>
          <w:szCs w:val="20"/>
          <w:lang w:val="hu-HU"/>
        </w:rPr>
      </w:pPr>
      <w:r w:rsidRPr="0072472C">
        <w:rPr>
          <w:i/>
          <w:sz w:val="20"/>
          <w:szCs w:val="20"/>
          <w:lang w:val="hu-HU"/>
        </w:rPr>
        <w:t xml:space="preserve">Forrás: HR benchmark felmérésről </w:t>
      </w:r>
      <w:hyperlink r:id="rId6" w:history="1">
        <w:r w:rsidRPr="0072472C">
          <w:rPr>
            <w:rStyle w:val="Hiperhivatkozs"/>
            <w:i/>
            <w:sz w:val="20"/>
            <w:szCs w:val="20"/>
            <w:lang w:val="hu-HU"/>
          </w:rPr>
          <w:t>http://www.vg.hu</w:t>
        </w:r>
      </w:hyperlink>
      <w:r w:rsidRPr="0072472C">
        <w:rPr>
          <w:i/>
          <w:sz w:val="20"/>
          <w:szCs w:val="20"/>
          <w:lang w:val="hu-HU"/>
        </w:rPr>
        <w:t>, 2007.12.07.; Munkaadók lapja XIV. évfolyam 7. szám</w:t>
      </w:r>
    </w:p>
    <w:p w:rsidR="00D07FA9" w:rsidRDefault="00D07FA9" w:rsidP="00D07FA9">
      <w:pPr>
        <w:pStyle w:val="Szvegtrzsbehzssal3"/>
        <w:spacing w:line="276" w:lineRule="auto"/>
      </w:pPr>
    </w:p>
    <w:p w:rsidR="00D07FA9" w:rsidRPr="00C40C8B" w:rsidRDefault="00D07FA9" w:rsidP="00D07FA9">
      <w:pPr>
        <w:pStyle w:val="Szvegtrzsbehzssal3"/>
        <w:spacing w:line="276" w:lineRule="auto"/>
      </w:pPr>
      <w:r>
        <w:t>A munkakör-</w:t>
      </w:r>
      <w:r w:rsidRPr="00C40C8B">
        <w:t xml:space="preserve">értékelést kritizálók szerint az értékelés túl bürokratikus, rugalmatlan, sok időt és energiát emészt fel, és a mai szervezetben már használhatatlan, mivel a munkakörre épülő rendszerek felett eljárt az idő. Problémát jelent az is, hogy a végső sorrend jóságát – azaz a </w:t>
      </w:r>
      <w:r>
        <w:t>munkakör-értékelés</w:t>
      </w:r>
      <w:r w:rsidRPr="00C40C8B">
        <w:t xml:space="preserve"> érvényességét – gyakran az alapján ítélik meg, hogy mennyiben tükrözi az előzetes elképzeléseket: a „sorrendet akkor érezzük igazságosnak, ha a mi elképzeléseinket adja vissza” (Armstrong – </w:t>
      </w:r>
      <w:proofErr w:type="spellStart"/>
      <w:r w:rsidRPr="00C40C8B">
        <w:t>Murlis</w:t>
      </w:r>
      <w:proofErr w:type="spellEnd"/>
      <w:r w:rsidRPr="00C40C8B">
        <w:t xml:space="preserve"> 2005, 146.o.). További hátrány, hogy az emberek megtanulják manipulálni a munkakörre épülő rendszereket, hogy munkakörük magasabb kategóriába kerüljön, ami a besorolási felhajtóerő jelenségéhez vezet (Armstrong – </w:t>
      </w:r>
      <w:proofErr w:type="spellStart"/>
      <w:r w:rsidRPr="00C40C8B">
        <w:t>Murlis</w:t>
      </w:r>
      <w:proofErr w:type="spellEnd"/>
      <w:r w:rsidRPr="00C40C8B">
        <w:t xml:space="preserve"> 2005, 145-146.o.).</w:t>
      </w:r>
    </w:p>
    <w:p w:rsidR="00D07FA9" w:rsidRDefault="00D07FA9" w:rsidP="00D07FA9">
      <w:pPr>
        <w:pStyle w:val="Szvegtrzsbehzssal3"/>
        <w:spacing w:line="276" w:lineRule="auto"/>
      </w:pPr>
      <w:r>
        <w:t>Ráadásul, bár segít az „egyenlő értékű munkaért egyenlő bért” elvének érvényesítésében, nem küszöböli ki automatikusan a diszkriminációt.</w:t>
      </w:r>
    </w:p>
    <w:p w:rsidR="00D07FA9" w:rsidRPr="00C40C8B" w:rsidRDefault="00D07FA9" w:rsidP="00D07FA9">
      <w:pPr>
        <w:pStyle w:val="Szvegtrzsbehzssal3"/>
        <w:spacing w:line="276" w:lineRule="auto"/>
      </w:pPr>
    </w:p>
    <w:p w:rsidR="00D07FA9" w:rsidRPr="002431CE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b/>
          <w:sz w:val="20"/>
          <w:lang w:val="hu-HU"/>
        </w:rPr>
      </w:pPr>
      <w:r w:rsidRPr="002431CE">
        <w:rPr>
          <w:b/>
          <w:sz w:val="20"/>
          <w:lang w:val="hu-HU"/>
        </w:rPr>
        <w:lastRenderedPageBreak/>
        <w:t>A munkakör-értékelés és az objektivitás hiánya, az értékelési eljárások esetleges diszkriminatív volta:</w:t>
      </w:r>
    </w:p>
    <w:p w:rsidR="00D07FA9" w:rsidRPr="00C40C8B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 w:rsidRPr="00C40C8B">
        <w:rPr>
          <w:sz w:val="20"/>
          <w:lang w:val="hu-HU"/>
        </w:rPr>
        <w:t xml:space="preserve">A </w:t>
      </w:r>
      <w:r>
        <w:rPr>
          <w:sz w:val="20"/>
          <w:lang w:val="hu-HU"/>
        </w:rPr>
        <w:t>munkakör-értékelés</w:t>
      </w:r>
      <w:r w:rsidRPr="00C40C8B">
        <w:rPr>
          <w:sz w:val="20"/>
          <w:lang w:val="hu-HU"/>
        </w:rPr>
        <w:t xml:space="preserve"> analitikus módszere akkor lehet diszkriminatív, ha az értékelési tényezők megállapításánál olyan tényezőket veszünk nagyobb arányban figyelembe, melyek alapvetően az egyik nemhez köthetők, míg nem veszünk számba olyan tényezőket, melyek a munkakör betöltéséhez nélkülözhetetlenek ugyan, de azt természetesnek tartjuk. A másik diszkriminatív pont, hogy bár figyelembe vesszük a tényezőket, de azokat úgy súlyozzák, hogy az az egyik nemnek kedvez, míg a másiknak hátrányt okoz (Nemeskéri – Csizmadia 2000). (Összegezve tehát két hibalehetőség van: mely tényezőket vesznek figyelembe, és azokat hogyan súlyozzák). </w:t>
      </w:r>
    </w:p>
    <w:p w:rsidR="00D07FA9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 w:rsidRPr="00C40C8B">
        <w:rPr>
          <w:sz w:val="20"/>
          <w:lang w:val="hu-HU"/>
        </w:rPr>
        <w:t>Az egyik leggyakrabban hozott példa a légi kísérők munkaköre. A légi kísérők szépsége és gondoskodó magatartása nagyon fontos tényező a légi kísérők kiválasztásánál, a felvételi eljárásban erre külön figyelnek. A munkakörük értékelésénél azonban elsősorban azt veszik figyel</w:t>
      </w:r>
      <w:r>
        <w:rPr>
          <w:sz w:val="20"/>
          <w:lang w:val="hu-HU"/>
        </w:rPr>
        <w:t>embe, hogy egyfajta kiszolgálói</w:t>
      </w:r>
      <w:r w:rsidRPr="00C40C8B">
        <w:rPr>
          <w:sz w:val="20"/>
          <w:lang w:val="hu-HU"/>
        </w:rPr>
        <w:t xml:space="preserve"> munkakört kell betölteniük, és nem veszik figyelembe azt, hogy örökké pozitív hozzáállást, gondoskodó magatartást kell tanúsítaniuk (ez az ún. esztétikai munka és érzelmi munka, a munkának ezt a részét természetesnek veszik). Ennek sokan nem tulajdonítanak nagy jelentőséget, ugyanakkor fontos megjegyezni, hogy esetükben a „szépség” fenntartása munkaköri kötelesség (voltak légitársaságok, melyek megszabták, hogy a légi</w:t>
      </w:r>
      <w:r>
        <w:rPr>
          <w:sz w:val="20"/>
          <w:lang w:val="hu-HU"/>
        </w:rPr>
        <w:t xml:space="preserve"> </w:t>
      </w:r>
      <w:r w:rsidRPr="00C40C8B">
        <w:rPr>
          <w:sz w:val="20"/>
          <w:lang w:val="hu-HU"/>
        </w:rPr>
        <w:t xml:space="preserve">kísérők súlya milyen határok közt mozoghat, és milyen színű alsóneműt viselhetnek), ez általában időbe és pénzbe kerül, amit a bérnek kompenzálnia kell. </w:t>
      </w:r>
    </w:p>
    <w:p w:rsidR="00D07FA9" w:rsidRPr="00C40C8B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  <w:rPr>
          <w:sz w:val="20"/>
          <w:lang w:val="hu-HU"/>
        </w:rPr>
      </w:pPr>
      <w:r w:rsidRPr="00C40C8B">
        <w:rPr>
          <w:sz w:val="20"/>
          <w:lang w:val="hu-HU"/>
        </w:rPr>
        <w:t>A munkakörökben általában felülértékelik a technikai tényezők jelentőségét (gépek kezelése), míg alulértékelik a gondoskodó magatartást</w:t>
      </w:r>
      <w:r>
        <w:rPr>
          <w:sz w:val="20"/>
          <w:lang w:val="hu-HU"/>
        </w:rPr>
        <w:t>, illetve az esztétikai munkát (ld. ápolók, óvodapedagógusok bére).</w:t>
      </w:r>
    </w:p>
    <w:p w:rsidR="00D07FA9" w:rsidRPr="00C40C8B" w:rsidRDefault="00D07FA9" w:rsidP="00D07FA9">
      <w:pPr>
        <w:pStyle w:val="Abstract2"/>
        <w:pBdr>
          <w:left w:val="single" w:sz="24" w:space="4" w:color="C0C0C0"/>
        </w:pBdr>
        <w:spacing w:line="276" w:lineRule="auto"/>
        <w:ind w:left="284"/>
      </w:pPr>
      <w:r w:rsidRPr="00C40C8B">
        <w:rPr>
          <w:sz w:val="20"/>
          <w:lang w:val="hu-HU"/>
        </w:rPr>
        <w:t>Számtalan munkakör ellátásához van szükség érzelmi munkára. Mindazok a munkakörök ide tartoznak, melyekben személyes kontaktust kell fenntartani, és ahol a munkához hozzátartozik, hogy a munkakört betöltő adott érzelmi állapotba hozza az interakcióban résztvevő másik személyt, illetve ahol a munkaadó bizonyos mértékig kontrollálhatja az érzelmek kifejezését (pl. tréningek, ellenőrzések: valóban minden ügyfélre rámosolyog-e a pénztáros a szupermarketben stb.).</w:t>
      </w:r>
      <w:r>
        <w:rPr>
          <w:sz w:val="20"/>
          <w:lang w:val="hu-HU"/>
        </w:rPr>
        <w:t xml:space="preserve"> Egyszerűbben megfogalmazva, érzelmi munkával azon munkakörökben találkozhatunk, ahol az érzelmi beállítottsággal kapcsolatos elvárások világosak, a megfelelő érzelmek tükrözését a munkáltató elvárja, kontrollálja és értük ellentételezés jár (Lazányi 2011).</w:t>
      </w:r>
      <w:r w:rsidRPr="00C40C8B">
        <w:rPr>
          <w:sz w:val="20"/>
          <w:lang w:val="hu-HU"/>
        </w:rPr>
        <w:t xml:space="preserve"> Ilyen pl. az ügyfélszolgálati </w:t>
      </w:r>
      <w:r>
        <w:rPr>
          <w:sz w:val="20"/>
          <w:lang w:val="hu-HU"/>
        </w:rPr>
        <w:t xml:space="preserve">munkakör, </w:t>
      </w:r>
      <w:r w:rsidRPr="00C40C8B">
        <w:rPr>
          <w:sz w:val="20"/>
          <w:lang w:val="hu-HU"/>
        </w:rPr>
        <w:t>személyi asszisztensek, tanárok stb. munkaköre.</w:t>
      </w:r>
      <w:r>
        <w:rPr>
          <w:sz w:val="20"/>
          <w:lang w:val="hu-HU"/>
        </w:rPr>
        <w:t xml:space="preserve"> De ilyen lehet (illetve lehetne) az ügyvédek, orvosok munkaköre is.</w:t>
      </w:r>
      <w:r w:rsidRPr="00C40C8B">
        <w:rPr>
          <w:sz w:val="20"/>
          <w:lang w:val="hu-HU"/>
        </w:rPr>
        <w:t xml:space="preserve"> Ha egy orvos pusztán a technikai tudását nyújtja, ami a munkaköri leírásában is szerepel, könnyen elveszítheti pácienseinek jelentős részét pusztán azáltal, hogy nem fordít elég figyelmet munkája „érzelmi” oldalára. Az érzelmi munkát ritkán ismerik fel és ismerik el</w:t>
      </w:r>
      <w:r>
        <w:rPr>
          <w:sz w:val="20"/>
          <w:lang w:val="hu-HU"/>
        </w:rPr>
        <w:t xml:space="preserve"> (az orvosképzésben is elsősorban a leendő orvosok technikai tudására koncentrálnak, míg az orvos-beteg kommunikáció kifejezetten elhanyagolt terület). A</w:t>
      </w:r>
      <w:r w:rsidRPr="00C40C8B">
        <w:rPr>
          <w:sz w:val="20"/>
          <w:lang w:val="hu-HU"/>
        </w:rPr>
        <w:t xml:space="preserve"> legtöbb munkaadó nem veszi figyelembe, hogy a munkaköri stressz jelentős része a munkakör ezen részéből származik</w:t>
      </w:r>
      <w:r>
        <w:rPr>
          <w:sz w:val="20"/>
          <w:lang w:val="hu-HU"/>
        </w:rPr>
        <w:t>, azaz abból, hogy emberekkel kell dolgozni</w:t>
      </w:r>
      <w:r w:rsidRPr="00C40C8B">
        <w:rPr>
          <w:sz w:val="20"/>
          <w:lang w:val="hu-HU"/>
        </w:rPr>
        <w:t xml:space="preserve"> (</w:t>
      </w:r>
      <w:proofErr w:type="spellStart"/>
      <w:r w:rsidRPr="00C40C8B">
        <w:rPr>
          <w:sz w:val="20"/>
          <w:lang w:val="hu-HU"/>
        </w:rPr>
        <w:t>Hochschild</w:t>
      </w:r>
      <w:proofErr w:type="spellEnd"/>
      <w:r w:rsidRPr="00C40C8B">
        <w:rPr>
          <w:sz w:val="20"/>
          <w:lang w:val="hu-HU"/>
        </w:rPr>
        <w:t>, 1983).</w:t>
      </w:r>
      <w:r>
        <w:rPr>
          <w:sz w:val="20"/>
          <w:lang w:val="hu-HU"/>
        </w:rPr>
        <w:t xml:space="preserve"> Az érzelmi munka tanulható, ugyanakkor érdekes kérdés, hogy hogyan taníthatóak meg erre a szervezetbe újonnan belépő munkatársak, hogyan történjen az erre vonatkozó normák átadása (Lazányi 2011).</w:t>
      </w:r>
    </w:p>
    <w:p w:rsidR="00B91E74" w:rsidRDefault="00B91E74" w:rsidP="00B91E74">
      <w:pPr>
        <w:spacing w:line="276" w:lineRule="auto"/>
      </w:pPr>
    </w:p>
    <w:p w:rsidR="00B91E74" w:rsidRPr="00C40C8B" w:rsidRDefault="00B91E74" w:rsidP="00B91E74">
      <w:pPr>
        <w:pStyle w:val="Irodalom"/>
      </w:pPr>
      <w:r w:rsidRPr="00C40C8B">
        <w:rPr>
          <w:b/>
        </w:rPr>
        <w:t>Irodalom</w:t>
      </w:r>
    </w:p>
    <w:p w:rsidR="00D07FA9" w:rsidRPr="00C40C8B" w:rsidRDefault="00D07FA9" w:rsidP="00D07FA9">
      <w:pPr>
        <w:spacing w:after="120"/>
        <w:ind w:left="357" w:hanging="357"/>
      </w:pPr>
      <w:r w:rsidRPr="00C40C8B">
        <w:t xml:space="preserve">Armstrong, Michael – </w:t>
      </w:r>
      <w:proofErr w:type="spellStart"/>
      <w:r w:rsidRPr="00C40C8B">
        <w:t>Helen</w:t>
      </w:r>
      <w:proofErr w:type="spellEnd"/>
      <w:r w:rsidRPr="00C40C8B">
        <w:t xml:space="preserve"> </w:t>
      </w:r>
      <w:proofErr w:type="spellStart"/>
      <w:r w:rsidRPr="00C40C8B">
        <w:t>Murlis</w:t>
      </w:r>
      <w:proofErr w:type="spellEnd"/>
      <w:r w:rsidRPr="00C40C8B">
        <w:t xml:space="preserve"> (2005): Javadalmazás-menedzsment. Budapest: </w:t>
      </w:r>
      <w:proofErr w:type="spellStart"/>
      <w:r w:rsidRPr="00C40C8B">
        <w:t>KJK-Kerszöv</w:t>
      </w:r>
      <w:proofErr w:type="spellEnd"/>
    </w:p>
    <w:p w:rsidR="00D07FA9" w:rsidRPr="00C40C8B" w:rsidRDefault="00D07FA9" w:rsidP="00D07FA9">
      <w:pPr>
        <w:spacing w:after="120"/>
        <w:ind w:left="357" w:hanging="357"/>
      </w:pPr>
      <w:proofErr w:type="spellStart"/>
      <w:r w:rsidRPr="00C40C8B">
        <w:t>Hochschild</w:t>
      </w:r>
      <w:proofErr w:type="spellEnd"/>
      <w:r w:rsidRPr="00C40C8B">
        <w:t xml:space="preserve">, </w:t>
      </w:r>
      <w:proofErr w:type="spellStart"/>
      <w:r w:rsidRPr="00C40C8B">
        <w:t>Arlie</w:t>
      </w:r>
      <w:proofErr w:type="spellEnd"/>
      <w:r w:rsidRPr="00C40C8B">
        <w:t xml:space="preserve"> R. (1983): The </w:t>
      </w:r>
      <w:proofErr w:type="spellStart"/>
      <w:r w:rsidRPr="00C40C8B">
        <w:t>Managed</w:t>
      </w:r>
      <w:proofErr w:type="spellEnd"/>
      <w:r w:rsidRPr="00C40C8B">
        <w:t xml:space="preserve"> </w:t>
      </w:r>
      <w:proofErr w:type="spellStart"/>
      <w:r w:rsidRPr="00C40C8B">
        <w:t>Heart</w:t>
      </w:r>
      <w:proofErr w:type="spellEnd"/>
      <w:r w:rsidRPr="00C40C8B">
        <w:t xml:space="preserve">. </w:t>
      </w:r>
      <w:proofErr w:type="spellStart"/>
      <w:r w:rsidRPr="00C40C8B">
        <w:t>Commercialization</w:t>
      </w:r>
      <w:proofErr w:type="spellEnd"/>
      <w:r w:rsidRPr="00C40C8B">
        <w:t xml:space="preserve"> of Human </w:t>
      </w:r>
      <w:proofErr w:type="spellStart"/>
      <w:r w:rsidRPr="00C40C8B">
        <w:t>Feelings</w:t>
      </w:r>
      <w:proofErr w:type="spellEnd"/>
      <w:r w:rsidRPr="00C40C8B">
        <w:t xml:space="preserve">. </w:t>
      </w:r>
      <w:proofErr w:type="spellStart"/>
      <w:r w:rsidRPr="00C40C8B">
        <w:t>Berkley</w:t>
      </w:r>
      <w:proofErr w:type="spellEnd"/>
      <w:r w:rsidRPr="00C40C8B">
        <w:t xml:space="preserve">, CA: </w:t>
      </w:r>
      <w:proofErr w:type="spellStart"/>
      <w:r w:rsidRPr="00C40C8B">
        <w:t>Univerity</w:t>
      </w:r>
      <w:proofErr w:type="spellEnd"/>
      <w:r w:rsidRPr="00C40C8B">
        <w:t xml:space="preserve"> of </w:t>
      </w:r>
      <w:proofErr w:type="spellStart"/>
      <w:r w:rsidRPr="00C40C8B">
        <w:t>California</w:t>
      </w:r>
      <w:proofErr w:type="spellEnd"/>
      <w:r w:rsidRPr="00C40C8B">
        <w:t xml:space="preserve"> Press</w:t>
      </w:r>
    </w:p>
    <w:p w:rsidR="00D07FA9" w:rsidRPr="00C40C8B" w:rsidRDefault="00D07FA9" w:rsidP="00D07FA9">
      <w:pPr>
        <w:spacing w:after="120"/>
        <w:ind w:left="357" w:hanging="357"/>
      </w:pPr>
      <w:r>
        <w:t xml:space="preserve">Lazányi Kornélia (2011): Érzelmek a szervezetben. </w:t>
      </w:r>
      <w:r w:rsidRPr="002F0DD0">
        <w:rPr>
          <w:i/>
        </w:rPr>
        <w:t>Munkaügyi Szemle</w:t>
      </w:r>
      <w:r>
        <w:t>, 55. évf. 3.sz., 32-39.o.</w:t>
      </w:r>
    </w:p>
    <w:p w:rsidR="00D07FA9" w:rsidRPr="00C40C8B" w:rsidRDefault="00D07FA9" w:rsidP="00D07FA9">
      <w:pPr>
        <w:spacing w:after="120"/>
        <w:ind w:left="357" w:hanging="357"/>
      </w:pPr>
      <w:r w:rsidRPr="00C40C8B">
        <w:t xml:space="preserve">Nemeskéri Gyula – Csizmadia Péter (2000): Nőkkel szembeni diszkrimináció a munkakörök értékelésén és összehasonlításán alapuló személyzeti rendszerekben. </w:t>
      </w:r>
      <w:r w:rsidRPr="00C40C8B">
        <w:rPr>
          <w:i/>
        </w:rPr>
        <w:t>Munkaügyi Szemle</w:t>
      </w:r>
      <w:r w:rsidRPr="00C40C8B">
        <w:t>, április, 11-14.o.</w:t>
      </w:r>
    </w:p>
    <w:p w:rsidR="00B50BEF" w:rsidRDefault="00B50BEF">
      <w:pPr>
        <w:spacing w:after="200" w:line="276" w:lineRule="auto"/>
        <w:ind w:firstLine="0"/>
        <w:jc w:val="left"/>
      </w:pPr>
      <w:r>
        <w:br w:type="page"/>
      </w:r>
    </w:p>
    <w:p w:rsidR="00B91E74" w:rsidRDefault="00B50BEF" w:rsidP="00D07FA9">
      <w:pPr>
        <w:spacing w:line="276" w:lineRule="auto"/>
      </w:pPr>
      <w:r>
        <w:rPr>
          <w:noProof/>
        </w:rPr>
        <w:lastRenderedPageBreak/>
        <w:drawing>
          <wp:inline distT="0" distB="0" distL="0" distR="0">
            <wp:extent cx="5760720" cy="3237429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65D"/>
    <w:multiLevelType w:val="hybridMultilevel"/>
    <w:tmpl w:val="CD70F56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E96AD22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E4C86FCE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FC4236A"/>
    <w:multiLevelType w:val="multilevel"/>
    <w:tmpl w:val="198A3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91908D5"/>
    <w:multiLevelType w:val="singleLevel"/>
    <w:tmpl w:val="1BF6F14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74"/>
    <w:rsid w:val="00147AB1"/>
    <w:rsid w:val="006E4E55"/>
    <w:rsid w:val="007370D1"/>
    <w:rsid w:val="00B337AB"/>
    <w:rsid w:val="00B50BEF"/>
    <w:rsid w:val="00B91E74"/>
    <w:rsid w:val="00D07FA9"/>
    <w:rsid w:val="00F2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B91E7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B91E74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B91E74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customStyle="1" w:styleId="Abstract2">
    <w:name w:val="Abstract2"/>
    <w:basedOn w:val="Norml"/>
    <w:link w:val="Abstract2Char"/>
    <w:rsid w:val="00D07FA9"/>
    <w:rPr>
      <w:rFonts w:eastAsia="Times New Roman" w:cs="Times New Roman"/>
      <w:lang w:val="en-GB"/>
    </w:rPr>
  </w:style>
  <w:style w:type="character" w:styleId="Hiperhivatkozs">
    <w:name w:val="Hyperlink"/>
    <w:rsid w:val="00D07FA9"/>
    <w:rPr>
      <w:color w:val="0000FF"/>
      <w:u w:val="single"/>
    </w:rPr>
  </w:style>
  <w:style w:type="character" w:customStyle="1" w:styleId="Abstract2Char">
    <w:name w:val="Abstract2 Char"/>
    <w:link w:val="Abstract2"/>
    <w:rsid w:val="00D07FA9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B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BEF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E55"/>
    <w:pPr>
      <w:spacing w:after="0" w:line="240" w:lineRule="auto"/>
      <w:ind w:firstLine="567"/>
      <w:jc w:val="both"/>
    </w:pPr>
    <w:rPr>
      <w:rFonts w:ascii="Times New Roman" w:hAnsi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E55"/>
    <w:pPr>
      <w:keepNext/>
      <w:numPr>
        <w:numId w:val="9"/>
      </w:numPr>
      <w:spacing w:before="480" w:after="240"/>
      <w:jc w:val="left"/>
      <w:outlineLvl w:val="0"/>
    </w:pPr>
    <w:rPr>
      <w:rFonts w:eastAsia="Times New Roman" w:cs="Times New Roman"/>
      <w:b/>
    </w:rPr>
  </w:style>
  <w:style w:type="paragraph" w:styleId="Cmsor2">
    <w:name w:val="heading 2"/>
    <w:basedOn w:val="Norml"/>
    <w:next w:val="Norml"/>
    <w:link w:val="Cmsor2Char"/>
    <w:qFormat/>
    <w:rsid w:val="006E4E55"/>
    <w:pPr>
      <w:keepNext/>
      <w:numPr>
        <w:ilvl w:val="1"/>
        <w:numId w:val="9"/>
      </w:numPr>
      <w:spacing w:before="240" w:after="120"/>
      <w:outlineLvl w:val="1"/>
    </w:pPr>
    <w:rPr>
      <w:rFonts w:eastAsia="Times New Roman" w:cs="Times New Roman"/>
      <w:i/>
    </w:rPr>
  </w:style>
  <w:style w:type="paragraph" w:styleId="Cmsor3">
    <w:name w:val="heading 3"/>
    <w:basedOn w:val="Norml"/>
    <w:next w:val="Norml"/>
    <w:link w:val="Cmsor3Char"/>
    <w:qFormat/>
    <w:rsid w:val="006E4E55"/>
    <w:pPr>
      <w:keepNext/>
      <w:numPr>
        <w:ilvl w:val="2"/>
        <w:numId w:val="9"/>
      </w:numPr>
      <w:tabs>
        <w:tab w:val="left" w:pos="3402"/>
      </w:tabs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next w:val="Norml"/>
    <w:link w:val="Cmsor4Char"/>
    <w:qFormat/>
    <w:rsid w:val="006E4E55"/>
    <w:pPr>
      <w:keepNext/>
      <w:numPr>
        <w:ilvl w:val="3"/>
        <w:numId w:val="9"/>
      </w:numPr>
      <w:ind w:right="3506"/>
      <w:outlineLvl w:val="3"/>
    </w:pPr>
    <w:rPr>
      <w:rFonts w:eastAsia="Times New Roman" w:cs="Times New Roman"/>
    </w:rPr>
  </w:style>
  <w:style w:type="paragraph" w:styleId="Cmsor5">
    <w:name w:val="heading 5"/>
    <w:basedOn w:val="Norml"/>
    <w:next w:val="Norml"/>
    <w:link w:val="Cmsor5Char"/>
    <w:qFormat/>
    <w:rsid w:val="006E4E55"/>
    <w:pPr>
      <w:keepNext/>
      <w:numPr>
        <w:ilvl w:val="4"/>
        <w:numId w:val="9"/>
      </w:numPr>
      <w:ind w:right="3081"/>
      <w:outlineLvl w:val="4"/>
    </w:pPr>
    <w:rPr>
      <w:rFonts w:eastAsia="Times New Roman" w:cs="Times New Roman"/>
    </w:rPr>
  </w:style>
  <w:style w:type="paragraph" w:styleId="Cmsor6">
    <w:name w:val="heading 6"/>
    <w:basedOn w:val="Norml"/>
    <w:next w:val="Norml"/>
    <w:link w:val="Cmsor6Char"/>
    <w:qFormat/>
    <w:rsid w:val="006E4E55"/>
    <w:pPr>
      <w:keepNext/>
      <w:numPr>
        <w:ilvl w:val="5"/>
        <w:numId w:val="9"/>
      </w:numPr>
      <w:ind w:right="2656"/>
      <w:outlineLvl w:val="5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6E4E55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 w:cs="Times New Roman"/>
      <w:sz w:val="20"/>
    </w:rPr>
  </w:style>
  <w:style w:type="paragraph" w:styleId="Cmsor8">
    <w:name w:val="heading 8"/>
    <w:basedOn w:val="Norml"/>
    <w:next w:val="Norml"/>
    <w:link w:val="Cmsor8Char"/>
    <w:qFormat/>
    <w:rsid w:val="006E4E55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 w:cs="Times New Roman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6E4E55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emeltinfo">
    <w:name w:val="Kiemelt_info"/>
    <w:basedOn w:val="Norml"/>
    <w:qFormat/>
    <w:rsid w:val="006E4E55"/>
    <w:pPr>
      <w:widowControl w:val="0"/>
      <w:pBdr>
        <w:left w:val="single" w:sz="24" w:space="4" w:color="A6A6A6"/>
      </w:pBdr>
      <w:autoSpaceDE w:val="0"/>
      <w:autoSpaceDN w:val="0"/>
      <w:adjustRightInd w:val="0"/>
      <w:spacing w:before="120" w:line="276" w:lineRule="auto"/>
      <w:ind w:left="284" w:firstLine="0"/>
    </w:pPr>
    <w:rPr>
      <w:rFonts w:eastAsia="Times New Roman" w:cs="Times New Roman"/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E4E5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6E4E5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6E4E5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6E4E5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E4E5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E4E55"/>
    <w:rPr>
      <w:rFonts w:ascii="Arial" w:eastAsia="Times New Roman" w:hAnsi="Arial" w:cs="Times New Roman"/>
      <w:b/>
      <w:i/>
      <w:sz w:val="18"/>
      <w:lang w:eastAsia="hu-HU"/>
    </w:rPr>
  </w:style>
  <w:style w:type="paragraph" w:styleId="Kpalrs">
    <w:name w:val="caption"/>
    <w:basedOn w:val="Norml"/>
    <w:next w:val="Norml"/>
    <w:qFormat/>
    <w:rsid w:val="006E4E55"/>
    <w:pPr>
      <w:ind w:firstLine="0"/>
    </w:pPr>
    <w:rPr>
      <w:rFonts w:eastAsia="Times New Roman" w:cs="Times New Roman"/>
      <w:sz w:val="20"/>
    </w:rPr>
  </w:style>
  <w:style w:type="paragraph" w:styleId="Listaszerbekezds">
    <w:name w:val="List Paragraph"/>
    <w:basedOn w:val="Norml"/>
    <w:uiPriority w:val="34"/>
    <w:qFormat/>
    <w:rsid w:val="006E4E55"/>
    <w:pPr>
      <w:ind w:left="720"/>
      <w:contextualSpacing/>
    </w:pPr>
    <w:rPr>
      <w:rFonts w:eastAsia="Times New Roman" w:cs="Times New Roman"/>
    </w:rPr>
  </w:style>
  <w:style w:type="paragraph" w:styleId="Idzet">
    <w:name w:val="Quote"/>
    <w:basedOn w:val="Szvegtrzs2"/>
    <w:next w:val="Norml"/>
    <w:link w:val="IdzetChar"/>
    <w:uiPriority w:val="29"/>
    <w:qFormat/>
    <w:rsid w:val="006E4E55"/>
    <w:pPr>
      <w:pBdr>
        <w:left w:val="single" w:sz="24" w:space="4" w:color="C0C0C0"/>
      </w:pBdr>
      <w:spacing w:after="0" w:line="276" w:lineRule="auto"/>
      <w:ind w:firstLine="0"/>
    </w:pPr>
    <w:rPr>
      <w:rFonts w:eastAsia="Times New Roman" w:cs="Times New Roman"/>
      <w:sz w:val="20"/>
      <w:szCs w:val="20"/>
    </w:rPr>
  </w:style>
  <w:style w:type="character" w:customStyle="1" w:styleId="IdzetChar">
    <w:name w:val="Idézet Char"/>
    <w:basedOn w:val="Bekezdsalapbettpusa"/>
    <w:link w:val="Idzet"/>
    <w:uiPriority w:val="29"/>
    <w:rsid w:val="006E4E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E4E5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E4E55"/>
    <w:rPr>
      <w:rFonts w:ascii="Times New Roman" w:hAnsi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B91E74"/>
    <w:rPr>
      <w:rFonts w:eastAsia="Times New Roman" w:cs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B91E74"/>
    <w:rPr>
      <w:rFonts w:ascii="Times New Roman" w:eastAsia="Times New Roman" w:hAnsi="Times New Roman" w:cs="Times New Roman"/>
      <w:lang w:eastAsia="hu-HU"/>
    </w:rPr>
  </w:style>
  <w:style w:type="paragraph" w:customStyle="1" w:styleId="Irodalom">
    <w:name w:val="Irodalom"/>
    <w:basedOn w:val="Norml"/>
    <w:rsid w:val="00B91E74"/>
    <w:pPr>
      <w:keepNext/>
      <w:spacing w:before="480" w:after="240"/>
      <w:ind w:firstLine="0"/>
      <w:jc w:val="center"/>
    </w:pPr>
    <w:rPr>
      <w:rFonts w:eastAsia="Times New Roman" w:cs="Times New Roman"/>
      <w:i/>
    </w:rPr>
  </w:style>
  <w:style w:type="paragraph" w:customStyle="1" w:styleId="Abstract2">
    <w:name w:val="Abstract2"/>
    <w:basedOn w:val="Norml"/>
    <w:link w:val="Abstract2Char"/>
    <w:rsid w:val="00D07FA9"/>
    <w:rPr>
      <w:rFonts w:eastAsia="Times New Roman" w:cs="Times New Roman"/>
      <w:lang w:val="en-GB"/>
    </w:rPr>
  </w:style>
  <w:style w:type="character" w:styleId="Hiperhivatkozs">
    <w:name w:val="Hyperlink"/>
    <w:rsid w:val="00D07FA9"/>
    <w:rPr>
      <w:color w:val="0000FF"/>
      <w:u w:val="single"/>
    </w:rPr>
  </w:style>
  <w:style w:type="character" w:customStyle="1" w:styleId="Abstract2Char">
    <w:name w:val="Abstract2 Char"/>
    <w:link w:val="Abstract2"/>
    <w:rsid w:val="00D07FA9"/>
    <w:rPr>
      <w:rFonts w:ascii="Times New Roman" w:eastAsia="Times New Roman" w:hAnsi="Times New Roman" w:cs="Times New Roman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B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BEF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Kurtosi Zsofia</dc:creator>
  <cp:lastModifiedBy>Farkas Zsoka</cp:lastModifiedBy>
  <cp:revision>7</cp:revision>
  <dcterms:created xsi:type="dcterms:W3CDTF">2018-07-27T08:41:00Z</dcterms:created>
  <dcterms:modified xsi:type="dcterms:W3CDTF">2018-11-15T16:42:00Z</dcterms:modified>
</cp:coreProperties>
</file>