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1" w:rsidRDefault="00A96C24" w:rsidP="00E469D1">
      <w:pPr>
        <w:pStyle w:val="Cmsor1"/>
        <w:numPr>
          <w:ilvl w:val="0"/>
          <w:numId w:val="0"/>
        </w:numPr>
        <w:spacing w:line="276" w:lineRule="auto"/>
      </w:pPr>
      <w:r>
        <w:t>Olvasólecke időigénye: 8</w:t>
      </w:r>
      <w:r w:rsidR="00E469D1">
        <w:t xml:space="preserve"> perc, készítette: Kürtösi Zsófia</w:t>
      </w:r>
    </w:p>
    <w:p w:rsidR="00E469D1" w:rsidRDefault="00E469D1" w:rsidP="00E469D1">
      <w:pPr>
        <w:pStyle w:val="Cmsor1"/>
        <w:numPr>
          <w:ilvl w:val="0"/>
          <w:numId w:val="0"/>
        </w:numPr>
      </w:pPr>
      <w:r w:rsidRPr="0084259A">
        <w:rPr>
          <w:caps/>
        </w:rPr>
        <w:t xml:space="preserve">A </w:t>
      </w:r>
      <w:r>
        <w:rPr>
          <w:caps/>
        </w:rPr>
        <w:t>KIVÁLASZTÁS</w:t>
      </w:r>
      <w:r w:rsidR="00C515EA">
        <w:rPr>
          <w:caps/>
        </w:rPr>
        <w:t>I ELJÁRÁSOK KIALAKÍTÁSÁNAK</w:t>
      </w:r>
      <w:r>
        <w:rPr>
          <w:caps/>
        </w:rPr>
        <w:t xml:space="preserve"> LEGFONTOSABB SZEMPONTJAI</w:t>
      </w:r>
    </w:p>
    <w:p w:rsidR="00E469D1" w:rsidRPr="00C40C8B" w:rsidRDefault="00E469D1" w:rsidP="00E469D1">
      <w:pPr>
        <w:pStyle w:val="Szvegtrzsbehzssal3"/>
        <w:spacing w:line="276" w:lineRule="auto"/>
        <w:ind w:firstLine="0"/>
      </w:pPr>
      <w:r w:rsidRPr="00C40C8B">
        <w:t xml:space="preserve">A toborzási folyamat során </w:t>
      </w:r>
      <w:r>
        <w:t>általában több</w:t>
      </w:r>
      <w:r w:rsidRPr="00C40C8B">
        <w:t xml:space="preserve"> potenciális munkavállaló jelentkezik az adott álláshely betöltésére, melyek közül </w:t>
      </w:r>
      <w:r w:rsidRPr="00E469D1">
        <w:rPr>
          <w:b/>
        </w:rPr>
        <w:t>a kiválasztási eljárással szűrik ki</w:t>
      </w:r>
      <w:r w:rsidRPr="00C40C8B">
        <w:t xml:space="preserve"> a személyügyi szakemberek a szervezet számára a munkaköri leírásban és a munkaköri specifikációban rögzített elvárásoknak </w:t>
      </w:r>
      <w:r>
        <w:t>megfelelő, a szervezethez leginkább illeszkedő</w:t>
      </w:r>
      <w:r w:rsidRPr="00C40C8B">
        <w:t xml:space="preserve"> jelöltet. A kiválasztást segítő eljárások köre folyamatosan bővül, de az alapelv mindig ugyanaz marad: megtalálni a megfelelő embert a megfelelő helyre. </w:t>
      </w:r>
    </w:p>
    <w:p w:rsidR="00E469D1" w:rsidRPr="00C40C8B" w:rsidRDefault="00E469D1" w:rsidP="00E469D1">
      <w:pPr>
        <w:pStyle w:val="Szvegtrzsbehzssal3"/>
        <w:spacing w:line="276" w:lineRule="auto"/>
      </w:pPr>
      <w:r w:rsidRPr="00C40C8B">
        <w:t xml:space="preserve">A kiválasztás a személyzeti munka meghatározó területe, hiszen a megfelelő képzettségű és a szervezeti célokkal azonosuló munkavállalók a vállalat teljesítményét nagymértékben meghatározzák. Az emberi erőforrás menedzsmentnek ebben a folyamatban koordináló, döntés-előkészítő szerepe van, a végső döntés joga a szervezeti </w:t>
      </w:r>
      <w:proofErr w:type="gramStart"/>
      <w:r w:rsidRPr="00C40C8B">
        <w:t>vezető(</w:t>
      </w:r>
      <w:proofErr w:type="spellStart"/>
      <w:proofErr w:type="gramEnd"/>
      <w:r w:rsidRPr="00C40C8B">
        <w:t>ke</w:t>
      </w:r>
      <w:proofErr w:type="spellEnd"/>
      <w:r w:rsidRPr="00C40C8B">
        <w:t xml:space="preserve">)t illeti meg. </w:t>
      </w:r>
    </w:p>
    <w:p w:rsidR="00E469D1" w:rsidRPr="00C515EA" w:rsidRDefault="00E469D1" w:rsidP="00C515EA">
      <w:pPr>
        <w:pStyle w:val="Szvegtrzsbehzssal3"/>
        <w:spacing w:line="276" w:lineRule="auto"/>
        <w:rPr>
          <w:b/>
        </w:rPr>
      </w:pPr>
      <w:r w:rsidRPr="00C515EA">
        <w:rPr>
          <w:b/>
        </w:rPr>
        <w:t xml:space="preserve">A HR-es munkatársak számára az a kérdés, milyen módszereket, eljárásokat válasszanak, hogyan építsék fel a kiválasztási </w:t>
      </w:r>
      <w:r w:rsidR="00B64D51">
        <w:rPr>
          <w:b/>
        </w:rPr>
        <w:t>folyamatot</w:t>
      </w:r>
      <w:r w:rsidRPr="00C515EA">
        <w:rPr>
          <w:b/>
        </w:rPr>
        <w:t>.</w:t>
      </w:r>
    </w:p>
    <w:p w:rsidR="00E469D1" w:rsidRPr="00C40C8B" w:rsidRDefault="00E469D1" w:rsidP="00E469D1">
      <w:pPr>
        <w:pStyle w:val="Szvegtrzsbehzssal3"/>
        <w:spacing w:line="276" w:lineRule="auto"/>
      </w:pPr>
      <w:r w:rsidRPr="00C40C8B">
        <w:t>A szelekciós eljárás során, ill. az alkalmazott módszerek meghatározásakor több szempontot célszerű figyelembe venni, amelyeket valamennyi kiválasztási technika alkalmazásakor szem előtt kell tartani a helyes döntés, a sikeres kiválasztás érdekében. Ezek a következők:</w:t>
      </w:r>
    </w:p>
    <w:p w:rsidR="00E469D1" w:rsidRPr="00C40C8B" w:rsidRDefault="00E469D1" w:rsidP="00C515EA">
      <w:pPr>
        <w:pStyle w:val="Cmsor1"/>
      </w:pPr>
      <w:r w:rsidRPr="00C40C8B">
        <w:t>Diszkrimináció-mentesség</w:t>
      </w:r>
    </w:p>
    <w:p w:rsidR="00E469D1" w:rsidRDefault="00E469D1" w:rsidP="00E469D1">
      <w:pPr>
        <w:pStyle w:val="Szvegtrzsbehzssal3"/>
        <w:spacing w:line="276" w:lineRule="auto"/>
      </w:pPr>
      <w:r w:rsidRPr="00C40C8B">
        <w:t>Ez a szempont valamennyi jelentkező azonos feltételek szerinti megítélését jelenti. Minden jelentkezőnek egyenlő esélyt kell adni a</w:t>
      </w:r>
      <w:r>
        <w:t xml:space="preserve"> bemutatkozásra</w:t>
      </w:r>
      <w:r w:rsidRPr="00C40C8B">
        <w:t xml:space="preserve">. Ügyelni kell a felvételi eljárás során, hogy senkit ne érjen hátrányos megkülönböztetés, </w:t>
      </w:r>
      <w:r>
        <w:t xml:space="preserve">ez </w:t>
      </w:r>
      <w:r w:rsidRPr="00C40C8B">
        <w:t xml:space="preserve">ugyanis etikátlan és </w:t>
      </w:r>
      <w:r>
        <w:t>jogszerűtlen</w:t>
      </w:r>
      <w:r w:rsidRPr="00C40C8B">
        <w:t>.</w:t>
      </w:r>
      <w:r>
        <w:t xml:space="preserve"> Ha a vállalat figyel erre a szempontra,</w:t>
      </w:r>
      <w:r w:rsidRPr="00C40C8B">
        <w:t xml:space="preserve"> elkerülheti a diszkriminációból eredő konfliktusokat, amelyek egyrészt jelentős költségekkel járhatnak</w:t>
      </w:r>
      <w:r>
        <w:t xml:space="preserve"> (pl. perek, büntetés)</w:t>
      </w:r>
      <w:r w:rsidRPr="00C40C8B">
        <w:t xml:space="preserve">, másrészt nagymértékben rontják a szervezet hírnevét. </w:t>
      </w:r>
    </w:p>
    <w:p w:rsidR="00E469D1" w:rsidRDefault="00E469D1" w:rsidP="00E469D1">
      <w:pPr>
        <w:pStyle w:val="Szvegtrzsbehzssal3"/>
        <w:spacing w:line="276" w:lineRule="auto"/>
      </w:pP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 xml:space="preserve">A diszkrimináció esetén a legtöbben az életkori, nemi és bőrszín alapú hátrányos megkülönböztetésre gondolunk (védett tulajdonságok), de számtalan más területen is megnyilvánulhat, pl. előfordul a fogyatékkal élők, a túlsúlyosak, az alacsonyak diszkriminációja is. Magyarországon születtek vizsgálatok arra vonatkozóan is, hogy pl. a roma származás és a túlsúlyosság, mint két – jellemzően a diszkrimináció alapját képező – tulajdonság hogyan befolyásolja a munkaerő-felvételt (Sík – </w:t>
      </w:r>
      <w:proofErr w:type="spellStart"/>
      <w:r>
        <w:rPr>
          <w:sz w:val="20"/>
        </w:rPr>
        <w:t>Simonovits</w:t>
      </w:r>
      <w:proofErr w:type="spellEnd"/>
      <w:r>
        <w:rPr>
          <w:sz w:val="20"/>
        </w:rPr>
        <w:t xml:space="preserve"> 2012).</w:t>
      </w: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  <w:szCs w:val="20"/>
        </w:rPr>
      </w:pPr>
      <w:r>
        <w:rPr>
          <w:sz w:val="20"/>
        </w:rPr>
        <w:t xml:space="preserve">Ez nem jelenti azt, hogy a munkakör betöltéséhez ne lehetne előírni speciális tulajdonságokat (pl. végzettséget). Érdekes kérdés például, hogy a magyarországi üzleteit megnyitó </w:t>
      </w:r>
      <w:proofErr w:type="spellStart"/>
      <w:r>
        <w:rPr>
          <w:sz w:val="20"/>
        </w:rPr>
        <w:t>Hooters</w:t>
      </w:r>
      <w:proofErr w:type="spellEnd"/>
      <w:r>
        <w:rPr>
          <w:sz w:val="20"/>
        </w:rPr>
        <w:t xml:space="preserve"> étterem, amelynek kifejezett ismertetőjele volt, hogy formás mellű fiatal nőket alkalmazott felszolgálónak, mennyiben diszkriminált, amikor mind a nemet, mind az életkori határt kikötötte álláshirdetéseiben. Ha a munkáltató nem tudja bizonyítani, hogy a munkakör ellátásához elengedhetetlen feltétel a jelentkező életkora vagy nemi hovatartozása, akkor </w:t>
      </w:r>
      <w:proofErr w:type="gramStart"/>
      <w:r>
        <w:rPr>
          <w:sz w:val="20"/>
        </w:rPr>
        <w:t>az</w:t>
      </w:r>
      <w:proofErr w:type="gramEnd"/>
      <w:r>
        <w:rPr>
          <w:sz w:val="20"/>
        </w:rPr>
        <w:t xml:space="preserve"> diszkriminációnak minősül. Ugyanakkor, ha a cég profiljába női felszolgálók illenek, akkor ez elegendő magyarázat lehet. Amerikában is folytak perek a </w:t>
      </w:r>
      <w:proofErr w:type="spellStart"/>
      <w:r>
        <w:rPr>
          <w:sz w:val="20"/>
        </w:rPr>
        <w:t>Hooters</w:t>
      </w:r>
      <w:proofErr w:type="spellEnd"/>
      <w:r>
        <w:rPr>
          <w:sz w:val="20"/>
        </w:rPr>
        <w:t xml:space="preserve"> ellen, így a nyomásnak engedve olyan pozíciókat is </w:t>
      </w:r>
      <w:r w:rsidRPr="00B63D05">
        <w:rPr>
          <w:sz w:val="20"/>
          <w:szCs w:val="20"/>
        </w:rPr>
        <w:t>létesítettek, amit mindkét nem képviselői betölthetnek.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origo</w:t>
      </w:r>
      <w:proofErr w:type="spellEnd"/>
      <w:r>
        <w:rPr>
          <w:sz w:val="20"/>
          <w:szCs w:val="20"/>
        </w:rPr>
        <w:t>)</w:t>
      </w:r>
    </w:p>
    <w:p w:rsidR="00E469D1" w:rsidRPr="00B63D05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  <w:szCs w:val="20"/>
        </w:rPr>
      </w:pPr>
      <w:r>
        <w:rPr>
          <w:sz w:val="20"/>
          <w:szCs w:val="20"/>
        </w:rPr>
        <w:t>Ugyanilyen érdekes kérdés a dohányosok diszkriminációja. Az esélyegyenlőségi törvényben felsorolt védett tulajdonságok között ezt a kategóriát nem találjuk, de van egy „egyéb védett helyzet, tulajdonság” kategória is, amibe további nem nevesített esetek besorolhatók. Az Egyenlő Bánásmód Hatóság szerint azonban a dohányzás valószínűleg nem ilyen, főleg, ha a cég egyértelművé teszi, hogy az egészséges életvitel mellett teszi le a voksát. Így tehát a dohányzásra rákérdezhetnek az állásinterjún és el is utasíthatják dohányosok felvételét, az nem minősülne diszkriminációnak. (Persze lehet perrel próbálkozni, hiszen vitatott az egyéb védett tulajdonság megítélése, akárcsak a tetoválás esetében). (index)</w:t>
      </w: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  <w:szCs w:val="20"/>
        </w:rPr>
      </w:pPr>
      <w:r w:rsidRPr="0072472C">
        <w:rPr>
          <w:i/>
          <w:sz w:val="20"/>
          <w:szCs w:val="20"/>
        </w:rPr>
        <w:lastRenderedPageBreak/>
        <w:t>Forrás:</w:t>
      </w:r>
      <w:r w:rsidRPr="00B63D05">
        <w:rPr>
          <w:sz w:val="20"/>
          <w:szCs w:val="20"/>
        </w:rPr>
        <w:t xml:space="preserve"> </w:t>
      </w:r>
      <w:hyperlink r:id="rId6" w:history="1">
        <w:r w:rsidRPr="0072472C">
          <w:rPr>
            <w:rStyle w:val="Hiperhivatkozs"/>
            <w:i/>
            <w:sz w:val="20"/>
            <w:szCs w:val="20"/>
          </w:rPr>
          <w:t>http://vallalkozoi.negyed.hu/vnegyed/20120815-ettermet-nyit-a-hooters-nem-dobhatja-ki-a-kis-mellu.html</w:t>
        </w:r>
      </w:hyperlink>
    </w:p>
    <w:p w:rsidR="00E469D1" w:rsidRPr="00F02EC3" w:rsidRDefault="002A4ACB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i/>
          <w:sz w:val="20"/>
          <w:szCs w:val="20"/>
        </w:rPr>
      </w:pPr>
      <w:hyperlink r:id="rId7" w:history="1">
        <w:r w:rsidR="00E469D1" w:rsidRPr="00F02EC3">
          <w:rPr>
            <w:rStyle w:val="Hiperhivatkozs"/>
            <w:i/>
            <w:sz w:val="20"/>
            <w:szCs w:val="20"/>
          </w:rPr>
          <w:t>http://index.hu/gazdasag/2016/09/16/allasjelentkezok_diszkriminacioja_vedett_tulajdonsagok/</w:t>
        </w:r>
      </w:hyperlink>
    </w:p>
    <w:p w:rsidR="00E469D1" w:rsidRPr="00C40C8B" w:rsidRDefault="00E469D1" w:rsidP="00E469D1">
      <w:pPr>
        <w:pStyle w:val="Szvegtrzsbehzssal3"/>
        <w:spacing w:line="276" w:lineRule="auto"/>
        <w:rPr>
          <w:i/>
          <w:u w:val="single"/>
        </w:rPr>
      </w:pPr>
    </w:p>
    <w:p w:rsidR="00E469D1" w:rsidRPr="00C40C8B" w:rsidRDefault="00E469D1" w:rsidP="00C515EA">
      <w:pPr>
        <w:pStyle w:val="Cmsor1"/>
      </w:pPr>
      <w:r w:rsidRPr="00C40C8B">
        <w:t>Az indiszkréció-diszkréció</w:t>
      </w:r>
      <w:r>
        <w:t>, személyes adatok kezelésének</w:t>
      </w:r>
      <w:r w:rsidRPr="00C40C8B">
        <w:t xml:space="preserve"> kérdése</w:t>
      </w:r>
    </w:p>
    <w:p w:rsidR="00E469D1" w:rsidRDefault="00E469D1" w:rsidP="00E469D1">
      <w:pPr>
        <w:pStyle w:val="Szvegtrzsbehzssal3"/>
        <w:spacing w:line="276" w:lineRule="auto"/>
      </w:pPr>
      <w:r w:rsidRPr="00C40C8B">
        <w:t>A</w:t>
      </w:r>
      <w:r>
        <w:t xml:space="preserve"> toborzás és</w:t>
      </w:r>
      <w:r w:rsidRPr="00C40C8B">
        <w:t xml:space="preserve"> szelekció során </w:t>
      </w:r>
      <w:r>
        <w:t xml:space="preserve">a vállalat olyan személyes adatok birtokába jut még a munkaviszony létesítése előtt, amelynek kezelésére szigorú szabályok vonatkoznak. (Különösen 2018-tól, a </w:t>
      </w:r>
      <w:proofErr w:type="spellStart"/>
      <w:r>
        <w:t>GDPR-nak</w:t>
      </w:r>
      <w:proofErr w:type="spellEnd"/>
      <w:r>
        <w:t xml:space="preserve"> megfelelő hazai jogszabályok életbe lépése után.) Jellemzően a jelölt hozzájárulása kell ahhoz, hogy a cég az adatokhoz hozzájusson, azokat tárolja, kezelje. Ha pl. a vállalat közösségi oldalakon is kutakodik a leendő munkavállaló után, erről tájékoztatnia kell a jelölteket (pl. hogy a pályázó profiljának nyilvános tartalmát megtekintik). A jelöltnek tudnia kell, milyen adatát, milyen célból gyűjti, használja a szervezet a kiválasztás során.</w:t>
      </w:r>
    </w:p>
    <w:p w:rsidR="00E469D1" w:rsidRPr="00C40C8B" w:rsidRDefault="00E469D1" w:rsidP="00E469D1">
      <w:pPr>
        <w:pStyle w:val="Szvegtrzsbehzssal3"/>
        <w:spacing w:line="276" w:lineRule="auto"/>
      </w:pPr>
      <w:r>
        <w:t xml:space="preserve">A jogi megfelelésen túl van néhány általános érvényű norma, amit érdemes betartani. A </w:t>
      </w:r>
      <w:r w:rsidRPr="00C40C8B">
        <w:t xml:space="preserve">feltett kérdésekkel, alkalmazott vizsgálatokkal, gyakorlatokkal kerülni kell a személyeskedést. </w:t>
      </w:r>
      <w:r>
        <w:t>A</w:t>
      </w:r>
      <w:r w:rsidRPr="00C40C8B">
        <w:t xml:space="preserve"> jelöltekhez intézett kérdések</w:t>
      </w:r>
      <w:r>
        <w:t>nek</w:t>
      </w:r>
      <w:r w:rsidRPr="00C40C8B">
        <w:t xml:space="preserve"> jellegüket tekintve szakmai irányultságú</w:t>
      </w:r>
      <w:r>
        <w:t>nak kell lenniük</w:t>
      </w:r>
      <w:r w:rsidRPr="00C40C8B">
        <w:t>, azaz a munkakör</w:t>
      </w:r>
      <w:r>
        <w:t>rel kapcsolatos elemekre</w:t>
      </w:r>
      <w:r w:rsidRPr="00C40C8B">
        <w:t xml:space="preserve"> terjed</w:t>
      </w:r>
      <w:r>
        <w:t>jenek ki elsősorban, illetve a jelölt munkával kapcsolatos attitűdjére.</w:t>
      </w:r>
      <w:r w:rsidRPr="00C40C8B">
        <w:t xml:space="preserve"> </w:t>
      </w:r>
      <w:r>
        <w:t xml:space="preserve">A jelöltet indokolatlanul </w:t>
      </w:r>
      <w:r w:rsidRPr="00C40C8B">
        <w:t>a magánéletéről kérdez</w:t>
      </w:r>
      <w:r>
        <w:t>ni nem etikus</w:t>
      </w:r>
      <w:r w:rsidRPr="00C40C8B">
        <w:t>. A jel</w:t>
      </w:r>
      <w:r>
        <w:t>entkező</w:t>
      </w:r>
      <w:r w:rsidRPr="00C40C8B">
        <w:t xml:space="preserve"> valószínűleg nem tagadná meg a választ, mivel tart az esetleges következményektől, de </w:t>
      </w:r>
      <w:r>
        <w:t>ezzel ne éljünk vissza.</w:t>
      </w:r>
      <w:r w:rsidRPr="00C40C8B">
        <w:t xml:space="preserve"> </w:t>
      </w:r>
    </w:p>
    <w:p w:rsidR="00E469D1" w:rsidRPr="00C40C8B" w:rsidRDefault="00E469D1" w:rsidP="00C515EA">
      <w:pPr>
        <w:pStyle w:val="Cmsor1"/>
      </w:pPr>
      <w:r w:rsidRPr="00C40C8B">
        <w:t>Objektivitás</w:t>
      </w:r>
    </w:p>
    <w:p w:rsidR="00E469D1" w:rsidRPr="00C40C8B" w:rsidRDefault="00E469D1" w:rsidP="00E469D1">
      <w:pPr>
        <w:pStyle w:val="Szvegtrzsbehzssal3"/>
        <w:spacing w:line="276" w:lineRule="auto"/>
        <w:rPr>
          <w:i/>
          <w:u w:val="single"/>
        </w:rPr>
      </w:pPr>
      <w:r w:rsidRPr="00C40C8B">
        <w:t xml:space="preserve">Alapvető követelmény, hogy a döntések </w:t>
      </w:r>
      <w:r>
        <w:t xml:space="preserve">minél </w:t>
      </w:r>
      <w:r w:rsidRPr="00C40C8B">
        <w:t>objektív</w:t>
      </w:r>
      <w:r>
        <w:t>ebbek legyenek, a szubjekti</w:t>
      </w:r>
      <w:r w:rsidRPr="00C40C8B">
        <w:t>v</w:t>
      </w:r>
      <w:r>
        <w:t>itást, amennyire csak lehet, ki kell zárni</w:t>
      </w:r>
      <w:r w:rsidRPr="00C40C8B">
        <w:t>. Az objektív módszer</w:t>
      </w:r>
      <w:r>
        <w:t>ek</w:t>
      </w:r>
      <w:r w:rsidRPr="00C40C8B">
        <w:t xml:space="preserve"> használat</w:t>
      </w:r>
      <w:r>
        <w:t xml:space="preserve">ával sikeresebb lehet a </w:t>
      </w:r>
      <w:r w:rsidRPr="00C40C8B">
        <w:t>kiválasztás, mivel minimalizálj</w:t>
      </w:r>
      <w:r>
        <w:t>ák</w:t>
      </w:r>
      <w:r w:rsidRPr="00C40C8B">
        <w:t xml:space="preserve"> a szelekc</w:t>
      </w:r>
      <w:r>
        <w:t xml:space="preserve">iós hibákat, elősegítve </w:t>
      </w:r>
      <w:r w:rsidRPr="00C40C8B">
        <w:t>az adott munkakör betöltésére legmegfelelőbb személy alkalmazását. (Kiss 1994.)</w:t>
      </w:r>
    </w:p>
    <w:p w:rsidR="00E469D1" w:rsidRPr="00C40C8B" w:rsidRDefault="00E469D1" w:rsidP="00C515EA">
      <w:pPr>
        <w:pStyle w:val="Cmsor1"/>
      </w:pPr>
      <w:r w:rsidRPr="00C40C8B">
        <w:t>Az alkalmazott technika költsége</w:t>
      </w:r>
    </w:p>
    <w:p w:rsidR="00E469D1" w:rsidRPr="00C40C8B" w:rsidRDefault="00E469D1" w:rsidP="00E469D1">
      <w:pPr>
        <w:pStyle w:val="Szvegtrzsbehzssal3"/>
        <w:spacing w:line="276" w:lineRule="auto"/>
        <w:rPr>
          <w:i/>
          <w:u w:val="single"/>
        </w:rPr>
      </w:pPr>
      <w:r w:rsidRPr="00C40C8B">
        <w:t>A különböző módszerek természetükből adódóan eltérő költségekkel járnak. A vezetésnek a humán szakemberekkel együtt el kell döntenie, milyen költség</w:t>
      </w:r>
      <w:r>
        <w:t>kerettel</w:t>
      </w:r>
      <w:r w:rsidRPr="00C40C8B">
        <w:t xml:space="preserve"> kíván</w:t>
      </w:r>
      <w:r>
        <w:t>nak</w:t>
      </w:r>
      <w:r w:rsidRPr="00C40C8B">
        <w:t xml:space="preserve"> dolgozni. Ez nyilvánvalóan az adott pozíciótól függ: egy vezetői munkakör betöltésére kifizetődő </w:t>
      </w:r>
      <w:r>
        <w:t>költségesebb</w:t>
      </w:r>
      <w:r w:rsidRPr="00C40C8B">
        <w:t xml:space="preserve"> technikák alkalmazása, amelyek meglehetősen részletes információkat szolgáltatnak a jelentkező szakmai képességéről, személyes tulajdonságairól, stb. (pl.: </w:t>
      </w:r>
      <w:r>
        <w:t xml:space="preserve">ilyen lehet az </w:t>
      </w:r>
      <w:r w:rsidRPr="00C40C8B">
        <w:t xml:space="preserve">értékelő központok alkalmazása). A ráfordítás többszörösen megtérül, ha ezzel egy olyan szakembert nyer a cég, aki a vállalati fejlődést elősegítheti. Ezzel szemben az alacsonyabb képzettségű jelöltek kiválasztásánál a kisebb költséggel járó módszereket éri meg alkalmazni (pl.: interjú készítése). </w:t>
      </w:r>
    </w:p>
    <w:p w:rsidR="00E469D1" w:rsidRPr="00C40C8B" w:rsidRDefault="00E469D1" w:rsidP="00C515EA">
      <w:pPr>
        <w:pStyle w:val="Cmsor1"/>
      </w:pPr>
      <w:r w:rsidRPr="00C40C8B">
        <w:t>Érvényesség</w:t>
      </w:r>
    </w:p>
    <w:p w:rsidR="00E469D1" w:rsidRPr="00C40C8B" w:rsidRDefault="00E469D1" w:rsidP="00E469D1">
      <w:pPr>
        <w:pStyle w:val="Szvegtrzsbehzssal3"/>
        <w:spacing w:line="276" w:lineRule="auto"/>
      </w:pPr>
      <w:r w:rsidRPr="00C40C8B">
        <w:t>Egy mérés érvényessége általánosságban azt jelenti, hogy a mérésből származó adatok mennyire tükrözik a használt fogalmak valódi jelentését. Jelen esetben ezt úgy adaptálhatjuk, hogy egy módszer akkor tekinthető érvényesnek, ha valóban azt méri, amire létrehozták. A kiválasztási eljárásoknál a célunk az, hogy megjósoljuk a jelölt jövőbeni teljesítményét. Egy kiválasztási módszer érvényessége annál jobb, minél szorosabb összefüggés mutatható ki a módszer alapján becsült és a tényleges teljesítmény között. (</w:t>
      </w:r>
      <w:proofErr w:type="spellStart"/>
      <w:r w:rsidRPr="00C40C8B">
        <w:t>McKenna-Beech</w:t>
      </w:r>
      <w:proofErr w:type="spellEnd"/>
      <w:r w:rsidRPr="00C40C8B">
        <w:t xml:space="preserve"> 1998, 139-140.o.)</w:t>
      </w:r>
    </w:p>
    <w:p w:rsidR="00E469D1" w:rsidRPr="00C40C8B" w:rsidRDefault="00E469D1" w:rsidP="00C515EA">
      <w:pPr>
        <w:pStyle w:val="Cmsor1"/>
      </w:pPr>
      <w:r w:rsidRPr="00C40C8B">
        <w:lastRenderedPageBreak/>
        <w:t>Megbízhatóság</w:t>
      </w:r>
    </w:p>
    <w:p w:rsidR="00E469D1" w:rsidRDefault="00E469D1" w:rsidP="00E469D1">
      <w:pPr>
        <w:pStyle w:val="Szvegtrzsbehzssal3"/>
        <w:spacing w:line="276" w:lineRule="auto"/>
      </w:pPr>
      <w:r w:rsidRPr="00C40C8B">
        <w:t>Egy mérés megbízhatósága általánosságban azt jelenti, hogy ha valamely mérési eljárást ismételten alkalmazzuk ugyanarra a tárgyra, mindig ugyanazt az eredményt adja (</w:t>
      </w:r>
      <w:proofErr w:type="spellStart"/>
      <w:r w:rsidRPr="00C40C8B">
        <w:t>Babbie</w:t>
      </w:r>
      <w:proofErr w:type="spellEnd"/>
      <w:r w:rsidRPr="00C40C8B">
        <w:t xml:space="preserve"> 2003, 162.o.). Ennek alapján egy kiválasztási eljárás akkor nevezhető megbízhatónak, ha az eljárást újra elvégezve ugyanazon</w:t>
      </w:r>
      <w:r>
        <w:t xml:space="preserve"> személy kerülne kiválasztásra.</w:t>
      </w:r>
    </w:p>
    <w:p w:rsidR="00E469D1" w:rsidRDefault="00E469D1" w:rsidP="00E469D1">
      <w:pPr>
        <w:pStyle w:val="Szvegtrzsbehzssal3"/>
        <w:spacing w:line="276" w:lineRule="auto"/>
      </w:pPr>
    </w:p>
    <w:p w:rsidR="00E469D1" w:rsidRPr="0010285A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b/>
          <w:sz w:val="20"/>
        </w:rPr>
      </w:pPr>
      <w:r w:rsidRPr="0010285A">
        <w:rPr>
          <w:b/>
          <w:sz w:val="20"/>
        </w:rPr>
        <w:t>Érvényesség és megbízhatóság a gyakorlatban</w:t>
      </w: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 xml:space="preserve">Érdemes átgondolni, mennyiben érvényes pl. egy IQ teszt (mint kiválasztási módszer) egy telefonos ügyfélszolgálati munkakörhöz. El kell döntenünk, mit is akarunk tulajdonképpen mérni, kommunikációs készséget, gyors felfogóképességet, </w:t>
      </w:r>
      <w:proofErr w:type="spellStart"/>
      <w:r>
        <w:rPr>
          <w:sz w:val="20"/>
        </w:rPr>
        <w:t>multitasking</w:t>
      </w:r>
      <w:proofErr w:type="spellEnd"/>
      <w:r>
        <w:rPr>
          <w:sz w:val="20"/>
        </w:rPr>
        <w:t xml:space="preserve"> (többfelé figyelés) képességét, konfliktuskezelést? A logikai-matematikai jellegű IQ teszt ebből talán a gyors felfogó képességet méri valamennyire, a többi esetén nem jó (nem érvényes) mérőeszköz. A megbízhatóság pedig azt jelenti, hogy ha többször is kitöltjük az IQ tesztet, az jó közelítéssel mindig ugyanazt az eredményt adja. Vajon egy fél órás állásinterjú mennyiben tekinthető megbízható kiválasztási módszernek?</w:t>
      </w:r>
    </w:p>
    <w:p w:rsidR="00E469D1" w:rsidRPr="00C40C8B" w:rsidRDefault="00E469D1" w:rsidP="00C515EA">
      <w:pPr>
        <w:pStyle w:val="Cmsor1"/>
      </w:pPr>
      <w:r w:rsidRPr="00C40C8B">
        <w:t>Hatékonyság</w:t>
      </w:r>
    </w:p>
    <w:p w:rsidR="00E469D1" w:rsidRPr="00C40C8B" w:rsidRDefault="00E469D1" w:rsidP="00E469D1">
      <w:pPr>
        <w:pStyle w:val="Szvegtrzsbehzssal3"/>
        <w:spacing w:line="276" w:lineRule="auto"/>
        <w:rPr>
          <w:i/>
          <w:u w:val="single"/>
        </w:rPr>
      </w:pPr>
      <w:r w:rsidRPr="00C40C8B">
        <w:t>A hatékonyság fogalma ebben az esetben is azt jelenti, hogy az eredmények optimális erőforrás-ráfordítással érhetők el. A kiválasztás hatékonysága csak utólag állapítható meg, mivel azt a felvett munkavállaló későbbi teljesítménye határozza meg. A hatékonyság megítéléséhez az új munkaerő teljesítményének folyamatos ellenőrzésére és mérésére van szükség.</w:t>
      </w:r>
    </w:p>
    <w:p w:rsidR="00E469D1" w:rsidRPr="00C40C8B" w:rsidRDefault="00E469D1" w:rsidP="00C515EA">
      <w:pPr>
        <w:pStyle w:val="Cmsor1"/>
      </w:pPr>
      <w:r w:rsidRPr="00C40C8B">
        <w:t>Azonos munkakörök betöltésére azonos módszer alkalmazása</w:t>
      </w:r>
    </w:p>
    <w:p w:rsidR="00E469D1" w:rsidRPr="00C40C8B" w:rsidRDefault="00E469D1" w:rsidP="00E469D1">
      <w:pPr>
        <w:pStyle w:val="Szvegtrzsbehzssal3"/>
        <w:spacing w:line="276" w:lineRule="auto"/>
      </w:pPr>
      <w:r w:rsidRPr="00C40C8B">
        <w:t>A különböző munkakörökhöz szükséges képességek, készségek, személyiség- és karakterjelle</w:t>
      </w:r>
      <w:r>
        <w:t xml:space="preserve">mzők eltérőek, így minden </w:t>
      </w:r>
      <w:r w:rsidRPr="00C40C8B">
        <w:t xml:space="preserve">munkakörhöz </w:t>
      </w:r>
      <w:r>
        <w:t>mások lehetnek a felvételi követelményeket</w:t>
      </w:r>
      <w:r w:rsidRPr="00C40C8B">
        <w:t>, é</w:t>
      </w:r>
      <w:r>
        <w:t xml:space="preserve">s ennek megfelelően </w:t>
      </w:r>
      <w:r w:rsidRPr="00C40C8B">
        <w:t>az al</w:t>
      </w:r>
      <w:r>
        <w:t>kalmazott kiválasztási technikák, vagy ha a technika azonos is, más lesz a tartalma (pl. tesztek)</w:t>
      </w:r>
      <w:r w:rsidRPr="00C40C8B">
        <w:t>. Az azonos munkakörök esetében lényeges valamennyi jelölt azonos szempontok, kritériumok, kérdések szerinti értékelése.</w:t>
      </w:r>
      <w:r>
        <w:t xml:space="preserve"> (Pl. az állásinterjún ugyanazokra a kérdéscsoportokra térjünk ki, hogy a jelöltek összevethetők legyenek.)</w:t>
      </w:r>
    </w:p>
    <w:p w:rsidR="00E469D1" w:rsidRPr="00C40C8B" w:rsidRDefault="00E469D1" w:rsidP="00C515EA">
      <w:pPr>
        <w:pStyle w:val="Cmsor1"/>
      </w:pPr>
      <w:r w:rsidRPr="00C40C8B">
        <w:t>Alkalmazkodási valószínűség előrejelzése</w:t>
      </w:r>
    </w:p>
    <w:p w:rsidR="00E469D1" w:rsidRPr="00C40C8B" w:rsidRDefault="00E469D1" w:rsidP="00E469D1">
      <w:pPr>
        <w:pStyle w:val="Szvegtrzsbehzssal3"/>
        <w:spacing w:line="276" w:lineRule="auto"/>
        <w:rPr>
          <w:i/>
          <w:u w:val="single"/>
        </w:rPr>
      </w:pPr>
      <w:r w:rsidRPr="00C40C8B">
        <w:t>A hatékony kiválasztás egyik feltétele, hogy a jelentkező kompetenciái mellett a szervezetbe való beilleszthetőségét is figyelembe kell venni. A kiválasztás folyamán fontos szempont, hogy vajon képes lesz-e majd együttdolgozni a jelölt a leendő vezetőivel, munkatársaival, azonosulni tud-e a szervezeti célokkal, képes lesz-e beilleszkedni a vállalati kultúrába. Amennyiben ezeknek a feltételeknek nem felel meg, nem lehet sikeres a szervezetbeli tevékenysége, ha rendelkezik is az összes felvételi kritériummal. (Személyügyi ABC 2001, 4.4.)</w:t>
      </w:r>
      <w:r>
        <w:t xml:space="preserve"> Épp ezért fontos, hogy a kiválasztás folyamatába a vonalbeli vezetők is bevonásra kerüljenek. Nem a HR-esnek kell megfelelnie </w:t>
      </w:r>
      <w:proofErr w:type="gramStart"/>
      <w:r>
        <w:t>a</w:t>
      </w:r>
      <w:proofErr w:type="gramEnd"/>
      <w:r>
        <w:t xml:space="preserve"> jelölnek, hanem a leendő csapatba kell tudnia beilleszkedni.</w:t>
      </w:r>
    </w:p>
    <w:p w:rsidR="00E469D1" w:rsidRPr="00C40C8B" w:rsidRDefault="00E469D1" w:rsidP="00C515EA">
      <w:pPr>
        <w:pStyle w:val="Cmsor1"/>
      </w:pPr>
      <w:r w:rsidRPr="00C40C8B">
        <w:t>A kiválasztási folyamattól függ a vállalat megítélése</w:t>
      </w:r>
    </w:p>
    <w:p w:rsidR="00E469D1" w:rsidRDefault="00E469D1" w:rsidP="00E469D1">
      <w:pPr>
        <w:pStyle w:val="Szvegtrzsbehzssal3"/>
        <w:spacing w:line="276" w:lineRule="auto"/>
      </w:pPr>
      <w:r w:rsidRPr="00C40C8B">
        <w:t xml:space="preserve">A szervezetnek figyelembe kell vennie, hogy minden jelölt – elutasított és kiválasztott egyaránt – a kiválasztási eljárás során tapasztaltak alapján kialakít egy véleményt a vállalatról. A személyügyi </w:t>
      </w:r>
      <w:r w:rsidRPr="00C40C8B">
        <w:lastRenderedPageBreak/>
        <w:t>szakembereknek például ügyelniük kell arra, hogy ne várakoztassák indokolatlanul a jelentkezőt, különösen, ha előre egyeztetett időpont alapján jön a felvételi találkozóra. Törekedni kell arra, hogy a jelöltnek legyen lehetősége a kibontakozásra, azaz olyan információk átadására, amelyek esetleg a jelentkezési lapján, önéletrajzában nem szerepelnek. Ez egyben a szervezet érdeke is, hiszen így több adat áll rendelkezésére a potenciális munkavállalóról. Ne feledjük, a munkaerőpiac is csak keresletből és kínálatból áll. Amennyiben pedig a kiválasztás során a jelöltek negatív benyomás szereznek, az a későbbiekben meghatározóan csökkentheti a jelentkezési kedvet</w:t>
      </w:r>
      <w:r>
        <w:t>, növelheti a felkínált állás elutasításának esélyét</w:t>
      </w:r>
      <w:r w:rsidRPr="00C40C8B">
        <w:t>.</w:t>
      </w:r>
    </w:p>
    <w:p w:rsidR="00E469D1" w:rsidRDefault="00E469D1" w:rsidP="00E469D1">
      <w:pPr>
        <w:pStyle w:val="Szvegtrzsbehzssal3"/>
        <w:spacing w:line="276" w:lineRule="auto"/>
      </w:pPr>
    </w:p>
    <w:p w:rsidR="00E469D1" w:rsidRPr="0010285A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b/>
          <w:sz w:val="20"/>
        </w:rPr>
      </w:pPr>
      <w:r>
        <w:rPr>
          <w:b/>
          <w:sz w:val="20"/>
        </w:rPr>
        <w:t>Jelöltélmény (</w:t>
      </w:r>
      <w:proofErr w:type="spellStart"/>
      <w:r>
        <w:rPr>
          <w:b/>
          <w:sz w:val="20"/>
        </w:rPr>
        <w:t>candidate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experience</w:t>
      </w:r>
      <w:proofErr w:type="spellEnd"/>
      <w:r>
        <w:rPr>
          <w:b/>
          <w:sz w:val="20"/>
        </w:rPr>
        <w:t>)</w:t>
      </w: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>Munkaerőhiányos időkben, amikor a szervezeteknek kell meggyőzni a jelölteket, hogy őket válasszák, egyre több cég igyekszik egyfajta pozitív élményt nyújtani a jelölteknek a toborzás, kiválasztás során. Ehhez valójában nem kell sok, csak át kell gondolni a toborzási és kiválasztási folyamatot a jelölt szemszögéből: mennyire egyszerű benyújtani a pályázatot, frissek-e a hirdetések a vállalati weboldalon, mennyire gyors a folyamat, kap-e visszajelzést a jelölt, úgy érzi-e, odafigyelnek rá, méltányosan bánnak vele, stb.</w:t>
      </w:r>
    </w:p>
    <w:p w:rsidR="00E469D1" w:rsidRPr="00C40C8B" w:rsidRDefault="00E469D1" w:rsidP="00C515EA">
      <w:pPr>
        <w:pStyle w:val="Cmsor1"/>
      </w:pPr>
      <w:r w:rsidRPr="00C40C8B">
        <w:t>Döntésről történő kiértesítés</w:t>
      </w:r>
    </w:p>
    <w:p w:rsidR="00E469D1" w:rsidRDefault="00E469D1" w:rsidP="00E469D1">
      <w:pPr>
        <w:pStyle w:val="Szvegtrzsbehzssal3"/>
        <w:spacing w:line="276" w:lineRule="auto"/>
      </w:pPr>
      <w:r w:rsidRPr="00C40C8B">
        <w:t>A döntés eredmé</w:t>
      </w:r>
      <w:r>
        <w:t xml:space="preserve">nyéről </w:t>
      </w:r>
      <w:r w:rsidR="002154EC" w:rsidRPr="00C40C8B">
        <w:t>–</w:t>
      </w:r>
      <w:r w:rsidR="00A96C24">
        <w:t xml:space="preserve"> legyen az </w:t>
      </w:r>
      <w:r w:rsidR="00A96C24" w:rsidRPr="00C40C8B">
        <w:t xml:space="preserve">akár pozitív, akár negatív </w:t>
      </w:r>
      <w:r w:rsidR="002154EC" w:rsidRPr="00C40C8B">
        <w:t>–</w:t>
      </w:r>
      <w:r w:rsidR="00A96C24">
        <w:t xml:space="preserve"> </w:t>
      </w:r>
      <w:r w:rsidRPr="00C40C8B">
        <w:t xml:space="preserve">értesíteni </w:t>
      </w:r>
      <w:r>
        <w:t xml:space="preserve">kell </w:t>
      </w:r>
      <w:r w:rsidR="00A96C24">
        <w:t>az összes jelentkezőt</w:t>
      </w:r>
      <w:r w:rsidR="00C515EA">
        <w:t xml:space="preserve">. </w:t>
      </w:r>
      <w:r w:rsidR="00A96C24">
        <w:t>Elutasítás esetén</w:t>
      </w:r>
      <w:r>
        <w:t>, ha a</w:t>
      </w:r>
      <w:r w:rsidRPr="00C40C8B">
        <w:t xml:space="preserve"> szervezet a felvételi eljárás során </w:t>
      </w:r>
      <w:r>
        <w:t xml:space="preserve">a jelöltről </w:t>
      </w:r>
      <w:r w:rsidRPr="00C40C8B">
        <w:t>szerzett információkat szeretné az adatbankjában rögzíteni</w:t>
      </w:r>
      <w:r>
        <w:t>, pályázatát tovább kezelni, hozzájárulást kell kérnie az elutasított jelentkezőtől.</w:t>
      </w:r>
      <w:r w:rsidRPr="00C40C8B">
        <w:t xml:space="preserve"> </w:t>
      </w:r>
      <w:r>
        <w:t xml:space="preserve">(Ez akkor lehet fontos, ha a szervezet úgy látja, </w:t>
      </w:r>
      <w:r w:rsidRPr="00C40C8B">
        <w:t>a</w:t>
      </w:r>
      <w:r>
        <w:t xml:space="preserve"> jelölt a</w:t>
      </w:r>
      <w:r w:rsidRPr="00C40C8B">
        <w:t xml:space="preserve"> későbbiek során alkalmas lehet egy másik munkakör betöltésére</w:t>
      </w:r>
      <w:r>
        <w:t>) (Munkácsy 2001, 7.o.). Amennyiben a jelölt ehhez kifejezetten nem járul hozzá, személyes adatait törölni kell, és amennyiben kéri, pályázati anyagát vissza kell számára juttatni.</w:t>
      </w:r>
    </w:p>
    <w:p w:rsidR="00E469D1" w:rsidRDefault="00E469D1" w:rsidP="00E469D1">
      <w:pPr>
        <w:pStyle w:val="Szvegtrzsbehzssal3"/>
        <w:spacing w:line="276" w:lineRule="auto"/>
      </w:pP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>A NAIH (Nemzeti Adatvédelmi és Információszabadság Hatóság) szerint nem megfelelő az a szervezeti gyakorlat, hogy az elutasított jelölteknek nem küldenek külön értesítést, csupán az álláshirdetésben szerepeltetik azt a kitételt, hogy „amennyiben 8 napon belül nem kap visszajelzést, úgy jelentkezését elutasítottuk”.</w:t>
      </w:r>
    </w:p>
    <w:p w:rsidR="00E469D1" w:rsidRDefault="00E469D1" w:rsidP="00E469D1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>Ugyancsak nem fogadható el az a gyakorlat sem, ha a cég kijelenti, hogy amennyiben az elutasított jelölt nem válaszol adott napon belül a szervezet megkeresésére, akkor az tovább kezeli az adatait.</w:t>
      </w:r>
    </w:p>
    <w:p w:rsidR="00E469D1" w:rsidRPr="00C40C8B" w:rsidRDefault="00E469D1" w:rsidP="00E469D1">
      <w:pPr>
        <w:pStyle w:val="Szvegtrzs"/>
        <w:spacing w:line="276" w:lineRule="auto"/>
        <w:ind w:left="170" w:right="-397"/>
      </w:pPr>
    </w:p>
    <w:p w:rsidR="00E469D1" w:rsidRPr="00C40C8B" w:rsidRDefault="00E469D1" w:rsidP="00E469D1">
      <w:pPr>
        <w:pStyle w:val="Szvegtrzsbehzssal3"/>
        <w:spacing w:line="276" w:lineRule="auto"/>
      </w:pPr>
      <w:r w:rsidRPr="00C40C8B">
        <w:t>A humán erőforrással foglalkozó szakemberek kiválasztási munkáját a rendkívül széles körben rendelkezésre álló technikák biztosítják, amelyek teljes körűen – a toborzási módszerekhez hasonlóan – nehezen összegezhetőek, azonban a legelterjedtebb</w:t>
      </w:r>
      <w:r>
        <w:t xml:space="preserve"> módszereket, kiválasztási technikákat a következőkben számba vesszük és alaposabban bemutatjuk</w:t>
      </w:r>
      <w:r w:rsidRPr="00C40C8B">
        <w:t>.</w:t>
      </w:r>
    </w:p>
    <w:p w:rsidR="00C515EA" w:rsidRPr="00C40C8B" w:rsidRDefault="00C515EA" w:rsidP="00C515EA">
      <w:pPr>
        <w:pStyle w:val="Irodalom"/>
        <w:rPr>
          <w:b/>
        </w:rPr>
      </w:pPr>
      <w:r w:rsidRPr="00C40C8B">
        <w:rPr>
          <w:b/>
        </w:rPr>
        <w:t>Irodalom</w:t>
      </w:r>
    </w:p>
    <w:p w:rsidR="00C515EA" w:rsidRPr="00C40C8B" w:rsidRDefault="00C515EA" w:rsidP="00C515EA">
      <w:pPr>
        <w:spacing w:before="120" w:after="120"/>
        <w:ind w:left="284" w:hanging="284"/>
      </w:pPr>
      <w:r w:rsidRPr="00C40C8B">
        <w:t xml:space="preserve">Gazdag Miklós – </w:t>
      </w:r>
      <w:proofErr w:type="spellStart"/>
      <w:r w:rsidRPr="00C40C8B">
        <w:t>Szatmáriné</w:t>
      </w:r>
      <w:proofErr w:type="spellEnd"/>
      <w:r w:rsidRPr="00C40C8B">
        <w:t xml:space="preserve"> dr. Balogh Mária (szerk.) (2001): </w:t>
      </w:r>
      <w:r w:rsidRPr="00C40C8B">
        <w:rPr>
          <w:i/>
        </w:rPr>
        <w:t>Személyügyi ABC – Aktuális gyakorlati tanácsadó cégvezetőknek és humánerőforrás-menedzsereknek</w:t>
      </w:r>
      <w:r w:rsidRPr="00C40C8B">
        <w:t xml:space="preserve">. Budapest: VERLAG DASHÖFER </w:t>
      </w:r>
    </w:p>
    <w:p w:rsidR="00C515EA" w:rsidRPr="00C40C8B" w:rsidRDefault="00C515EA" w:rsidP="00C515EA">
      <w:pPr>
        <w:spacing w:before="120" w:after="120"/>
        <w:ind w:left="284" w:hanging="284"/>
      </w:pPr>
      <w:r w:rsidRPr="00C40C8B">
        <w:t xml:space="preserve">Kiss Pál István (1994): </w:t>
      </w:r>
      <w:r w:rsidRPr="00C40C8B">
        <w:rPr>
          <w:i/>
        </w:rPr>
        <w:t>Humán erőforrás menedzsment</w:t>
      </w:r>
      <w:r w:rsidRPr="00C40C8B">
        <w:t>. Gödöllő: Emberi Erőforrások Fejlesztése Alapítvány</w:t>
      </w:r>
    </w:p>
    <w:p w:rsidR="00C515EA" w:rsidRPr="00C40C8B" w:rsidRDefault="00C515EA" w:rsidP="00C515EA">
      <w:pPr>
        <w:spacing w:before="120" w:after="120"/>
        <w:ind w:left="284" w:hanging="284"/>
      </w:pPr>
      <w:proofErr w:type="spellStart"/>
      <w:r w:rsidRPr="00C40C8B">
        <w:t>McKenna</w:t>
      </w:r>
      <w:proofErr w:type="spellEnd"/>
      <w:r w:rsidRPr="00C40C8B">
        <w:t xml:space="preserve">, Eugene – Nick </w:t>
      </w:r>
      <w:proofErr w:type="spellStart"/>
      <w:r w:rsidRPr="00C40C8B">
        <w:t>Beech</w:t>
      </w:r>
      <w:proofErr w:type="spellEnd"/>
      <w:r w:rsidRPr="00C40C8B">
        <w:t xml:space="preserve"> (1998): </w:t>
      </w:r>
      <w:r w:rsidRPr="00C40C8B">
        <w:rPr>
          <w:i/>
        </w:rPr>
        <w:t>Emberi erőforrás menedzsment</w:t>
      </w:r>
      <w:r w:rsidRPr="00C40C8B">
        <w:t xml:space="preserve">. Budapest: </w:t>
      </w:r>
      <w:proofErr w:type="spellStart"/>
      <w:r w:rsidRPr="00C40C8B">
        <w:t>Panem</w:t>
      </w:r>
      <w:proofErr w:type="spellEnd"/>
    </w:p>
    <w:p w:rsidR="00C515EA" w:rsidRPr="00C40C8B" w:rsidRDefault="00C515EA" w:rsidP="00C515EA">
      <w:pPr>
        <w:keepNext/>
        <w:spacing w:before="120" w:after="120"/>
        <w:ind w:left="284" w:hanging="284"/>
      </w:pPr>
      <w:r w:rsidRPr="00C40C8B">
        <w:lastRenderedPageBreak/>
        <w:t xml:space="preserve">Munkácsy Ferenc (2001): Benchmark: A kiválasztás. </w:t>
      </w:r>
      <w:r w:rsidRPr="00C40C8B">
        <w:rPr>
          <w:i/>
        </w:rPr>
        <w:t>Munkaügyi Szemle</w:t>
      </w:r>
      <w:r w:rsidRPr="00C40C8B">
        <w:t xml:space="preserve">, 1.sz. </w:t>
      </w:r>
    </w:p>
    <w:p w:rsidR="002A4ACB" w:rsidRDefault="00C515EA" w:rsidP="00C515EA">
      <w:pPr>
        <w:spacing w:before="120" w:after="120"/>
        <w:ind w:left="284" w:hanging="284"/>
        <w:rPr>
          <w:rStyle w:val="Hiperhivatkozs"/>
        </w:rPr>
      </w:pPr>
      <w:r>
        <w:t xml:space="preserve">Sík Endre – </w:t>
      </w:r>
      <w:proofErr w:type="spellStart"/>
      <w:r>
        <w:t>Simonovits</w:t>
      </w:r>
      <w:proofErr w:type="spellEnd"/>
      <w:r>
        <w:t xml:space="preserve"> Bori (2012): A diszkrimináció mérése. E-tankönyv. Letölthető: </w:t>
      </w:r>
      <w:hyperlink r:id="rId8" w:history="1">
        <w:r>
          <w:rPr>
            <w:rStyle w:val="Hiperhivatkozs"/>
          </w:rPr>
          <w:t>http://www.tarki.hu/hu/about/staff/sb/Diszkriminacio_merese.pdf</w:t>
        </w:r>
      </w:hyperlink>
    </w:p>
    <w:p w:rsidR="002A4ACB" w:rsidRDefault="002A4ACB" w:rsidP="002A4ACB">
      <w:pPr>
        <w:rPr>
          <w:rStyle w:val="Hiperhivatkozs"/>
        </w:rPr>
      </w:pPr>
      <w:r>
        <w:rPr>
          <w:rStyle w:val="Hiperhivatkozs"/>
        </w:rPr>
        <w:br w:type="page"/>
      </w:r>
    </w:p>
    <w:p w:rsidR="00C515EA" w:rsidRPr="00C40C8B" w:rsidRDefault="002A4ACB" w:rsidP="00C515EA">
      <w:pPr>
        <w:spacing w:before="120" w:after="120"/>
        <w:ind w:left="284" w:hanging="284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5EA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D1"/>
    <w:rsid w:val="002154EC"/>
    <w:rsid w:val="00215C12"/>
    <w:rsid w:val="002A4ACB"/>
    <w:rsid w:val="006E4E55"/>
    <w:rsid w:val="00A96C24"/>
    <w:rsid w:val="00B64D51"/>
    <w:rsid w:val="00C515EA"/>
    <w:rsid w:val="00E469D1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E469D1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E469D1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469D1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E469D1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E469D1"/>
    <w:rPr>
      <w:color w:val="0000FF"/>
      <w:u w:val="single"/>
    </w:rPr>
  </w:style>
  <w:style w:type="paragraph" w:customStyle="1" w:styleId="Irodalom">
    <w:name w:val="Irodalom"/>
    <w:basedOn w:val="Norml"/>
    <w:rsid w:val="00C515EA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AC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E469D1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E469D1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469D1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E469D1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E469D1"/>
    <w:rPr>
      <w:color w:val="0000FF"/>
      <w:u w:val="single"/>
    </w:rPr>
  </w:style>
  <w:style w:type="paragraph" w:customStyle="1" w:styleId="Irodalom">
    <w:name w:val="Irodalom"/>
    <w:basedOn w:val="Norml"/>
    <w:rsid w:val="00C515EA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A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ki.hu/hu/about/staff/sb/Diszkriminacio_meres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dex.hu/gazdasag/2016/09/16/allasjelentkezok_diszkriminacioja_vedett_tulajdonsag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lalkozoi.negyed.hu/vnegyed/20120815-ettermet-nyit-a-hooters-nem-dobhatja-ki-a-kis-mell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1746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7</cp:revision>
  <dcterms:created xsi:type="dcterms:W3CDTF">2018-09-06T15:22:00Z</dcterms:created>
  <dcterms:modified xsi:type="dcterms:W3CDTF">2018-11-15T16:39:00Z</dcterms:modified>
</cp:coreProperties>
</file>