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79" w:rsidRDefault="00C86B9C" w:rsidP="006E6379">
      <w:pPr>
        <w:pStyle w:val="Cmsor1"/>
        <w:numPr>
          <w:ilvl w:val="0"/>
          <w:numId w:val="0"/>
        </w:numPr>
        <w:spacing w:line="276" w:lineRule="auto"/>
      </w:pPr>
      <w:bookmarkStart w:id="0" w:name="_Toc450838018"/>
      <w:bookmarkStart w:id="1" w:name="_Toc450838722"/>
      <w:r>
        <w:t>Olvasólecke időigénye: 2</w:t>
      </w:r>
      <w:r w:rsidR="006E6379">
        <w:t xml:space="preserve"> perc, készítette: Kürtösi Zsófia</w:t>
      </w:r>
    </w:p>
    <w:p w:rsidR="006E6379" w:rsidRPr="00C40C8B" w:rsidRDefault="006E6379" w:rsidP="006E6379">
      <w:pPr>
        <w:pStyle w:val="Cmsor1"/>
        <w:numPr>
          <w:ilvl w:val="0"/>
          <w:numId w:val="0"/>
        </w:numPr>
      </w:pPr>
      <w:r w:rsidRPr="0084259A">
        <w:rPr>
          <w:caps/>
        </w:rPr>
        <w:t xml:space="preserve">A </w:t>
      </w:r>
      <w:r>
        <w:rPr>
          <w:caps/>
        </w:rPr>
        <w:t>TOBORZÁS HATÉKONYSÁGÁNAK VIZSGÁLATA</w:t>
      </w:r>
      <w:bookmarkEnd w:id="0"/>
      <w:bookmarkEnd w:id="1"/>
    </w:p>
    <w:p w:rsidR="006E6379" w:rsidRDefault="006E6379" w:rsidP="006E6379">
      <w:pPr>
        <w:pStyle w:val="Szvegtrzsbehzssal3"/>
        <w:spacing w:line="276" w:lineRule="auto"/>
        <w:ind w:firstLine="0"/>
      </w:pPr>
      <w:r>
        <w:t xml:space="preserve">Hogy jól működik-e a jelenlegi toborzási rendszer, arról akkor kaphatunk információkat, ha </w:t>
      </w:r>
      <w:r w:rsidRPr="00C40C8B">
        <w:t>a toborzási tevékenysége</w:t>
      </w:r>
      <w:r>
        <w:t>t</w:t>
      </w:r>
      <w:r w:rsidRPr="00C40C8B">
        <w:t xml:space="preserve"> folyamatos</w:t>
      </w:r>
      <w:r>
        <w:t>an</w:t>
      </w:r>
      <w:r w:rsidRPr="00C40C8B">
        <w:t xml:space="preserve"> monitoroz</w:t>
      </w:r>
      <w:r>
        <w:t>zuk</w:t>
      </w:r>
      <w:r w:rsidRPr="00C40C8B">
        <w:t xml:space="preserve">. Az egyes toborzási </w:t>
      </w:r>
      <w:r>
        <w:t>források/csatornák</w:t>
      </w:r>
      <w:r w:rsidRPr="00C40C8B">
        <w:t xml:space="preserve"> hatékonysága </w:t>
      </w:r>
      <w:r>
        <w:t xml:space="preserve">akár </w:t>
      </w:r>
      <w:r w:rsidRPr="00C40C8B">
        <w:t>munkakörönként</w:t>
      </w:r>
      <w:r>
        <w:t xml:space="preserve"> is</w:t>
      </w:r>
      <w:r w:rsidRPr="00C40C8B">
        <w:t xml:space="preserve"> változik</w:t>
      </w:r>
      <w:r>
        <w:t xml:space="preserve"> (pl. fizikai munkakörökben valószínűleg más csatornákon keresztül lehet embereket elérni, mint szellemi munkakörökhöz).</w:t>
      </w:r>
    </w:p>
    <w:p w:rsidR="006E6379" w:rsidRPr="00C40C8B" w:rsidRDefault="006E6379" w:rsidP="006E6379">
      <w:pPr>
        <w:pStyle w:val="Szvegtrzsbehzssal3"/>
        <w:spacing w:line="276" w:lineRule="auto"/>
      </w:pPr>
    </w:p>
    <w:p w:rsidR="006E6379" w:rsidRPr="006E6379" w:rsidRDefault="006E6379" w:rsidP="006E6379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b/>
          <w:snapToGrid w:val="0"/>
          <w:sz w:val="20"/>
        </w:rPr>
      </w:pPr>
      <w:r w:rsidRPr="006E6379">
        <w:rPr>
          <w:rFonts w:ascii="TimesNewRoman" w:hAnsi="TimesNewRoman"/>
          <w:b/>
          <w:snapToGrid w:val="0"/>
          <w:sz w:val="20"/>
        </w:rPr>
        <w:t>A toborzás hatékonyságát mérő számszerűsíthető mutatók közül néhány:</w:t>
      </w:r>
    </w:p>
    <w:p w:rsidR="006E6379" w:rsidRPr="006E6379" w:rsidRDefault="006E6379" w:rsidP="006E6379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b/>
          <w:snapToGrid w:val="0"/>
          <w:sz w:val="20"/>
        </w:rPr>
      </w:pPr>
    </w:p>
    <w:p w:rsidR="006E6379" w:rsidRPr="006E6379" w:rsidRDefault="006E6379" w:rsidP="006E6379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snapToGrid w:val="0"/>
          <w:sz w:val="20"/>
        </w:rPr>
      </w:pPr>
      <w:r w:rsidRPr="006E6379">
        <w:rPr>
          <w:rFonts w:ascii="TimesNewRoman" w:hAnsi="TimesNewRoman"/>
          <w:snapToGrid w:val="0"/>
          <w:sz w:val="20"/>
        </w:rPr>
        <w:t>(1) A munkakörre jelentkezők száma (mennyiségi mutatószám)</w:t>
      </w:r>
    </w:p>
    <w:p w:rsidR="006E6379" w:rsidRPr="006E6379" w:rsidRDefault="006E6379" w:rsidP="006E6379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snapToGrid w:val="0"/>
          <w:sz w:val="20"/>
        </w:rPr>
      </w:pPr>
      <w:r w:rsidRPr="006E6379">
        <w:rPr>
          <w:rFonts w:ascii="TimesNewRoman" w:hAnsi="TimesNewRoman"/>
          <w:snapToGrid w:val="0"/>
          <w:sz w:val="20"/>
        </w:rPr>
        <w:t>(2) A jelentkezők közül az első szelekción átjutó jelöltek száma:</w:t>
      </w:r>
    </w:p>
    <w:p w:rsidR="006E6379" w:rsidRPr="006E6379" w:rsidRDefault="006E6379" w:rsidP="006E6379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snapToGrid w:val="0"/>
          <w:sz w:val="20"/>
        </w:rPr>
      </w:pPr>
      <w:r w:rsidRPr="006E6379">
        <w:rPr>
          <w:rFonts w:ascii="TimesNewRoman" w:hAnsi="TimesNewRoman"/>
          <w:snapToGrid w:val="0"/>
          <w:sz w:val="20"/>
        </w:rPr>
        <w:t>A kiválasztásra behívott pályázók száma</w:t>
      </w:r>
      <w:r>
        <w:rPr>
          <w:rFonts w:ascii="TimesNewRoman" w:hAnsi="TimesNewRoman"/>
          <w:snapToGrid w:val="0"/>
          <w:sz w:val="20"/>
        </w:rPr>
        <w:t>/munkakörre jelentkezők száma</w:t>
      </w:r>
    </w:p>
    <w:p w:rsidR="006E6379" w:rsidRPr="006E6379" w:rsidRDefault="006E6379" w:rsidP="006E6379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snapToGrid w:val="0"/>
          <w:sz w:val="20"/>
        </w:rPr>
      </w:pPr>
      <w:r w:rsidRPr="006E6379">
        <w:rPr>
          <w:rFonts w:ascii="TimesNewRoman" w:hAnsi="TimesNewRoman"/>
          <w:snapToGrid w:val="0"/>
          <w:sz w:val="20"/>
        </w:rPr>
        <w:t>(3) Átlagos toborzási idő</w:t>
      </w:r>
    </w:p>
    <w:p w:rsidR="006E6379" w:rsidRPr="006E6379" w:rsidRDefault="006E6379" w:rsidP="006E6379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i/>
          <w:snapToGrid w:val="0"/>
          <w:sz w:val="20"/>
        </w:rPr>
      </w:pPr>
      <w:r w:rsidRPr="006E6379">
        <w:rPr>
          <w:rFonts w:ascii="TimesNewRoman" w:hAnsi="TimesNewRoman"/>
          <w:i/>
          <w:snapToGrid w:val="0"/>
          <w:sz w:val="20"/>
        </w:rPr>
        <w:t>Forrás: Kiss 1994, 147.o.</w:t>
      </w:r>
    </w:p>
    <w:p w:rsidR="006E6379" w:rsidRPr="00C40C8B" w:rsidRDefault="006E6379" w:rsidP="006E6379">
      <w:pPr>
        <w:pStyle w:val="Szvegtrzsbehzssal3"/>
        <w:spacing w:line="276" w:lineRule="auto"/>
      </w:pPr>
    </w:p>
    <w:p w:rsidR="006E6379" w:rsidRPr="00C40C8B" w:rsidRDefault="006E6379" w:rsidP="006E6379">
      <w:pPr>
        <w:pStyle w:val="Szvegtrzsbehzssal3"/>
        <w:spacing w:line="276" w:lineRule="auto"/>
      </w:pPr>
      <w:r w:rsidRPr="00C40C8B">
        <w:t>A toborzás hatékonyságának vizsgálatánál fontos szempont a toborzás költségeinek vizsgálata. A toborzás költségeinek elemzésénél figyelembe kell venni az előkészületi munkák költségét, az adminisztratív költségeket és – amennyiben felmerülnek – az esetleges megbízási díjakat (például az ügynökségek jutalékát, hirdetési költségeket).</w:t>
      </w:r>
    </w:p>
    <w:p w:rsidR="006E6379" w:rsidRPr="00C40C8B" w:rsidRDefault="006E6379" w:rsidP="006E6379">
      <w:pPr>
        <w:pStyle w:val="Szvegtrzsbehzssal3"/>
        <w:spacing w:line="276" w:lineRule="auto"/>
      </w:pPr>
    </w:p>
    <w:p w:rsidR="006E6379" w:rsidRPr="006E6379" w:rsidRDefault="006E6379" w:rsidP="006E6379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snapToGrid w:val="0"/>
          <w:sz w:val="20"/>
        </w:rPr>
      </w:pPr>
      <w:r w:rsidRPr="006E6379">
        <w:rPr>
          <w:rFonts w:ascii="TimesNewRoman" w:hAnsi="TimesNewRoman"/>
          <w:snapToGrid w:val="0"/>
          <w:sz w:val="20"/>
        </w:rPr>
        <w:t>A toborzás költségeinek vizsgálatánál komoly gondot okoz e költségek elválasztása a kiválasztással kapcsolatos kiadásoktól. Éppen ezért e két egymásra épülő terület költségeit a leggyakrabban együttesen határozzák meg. Fontos információt hordoz továbbá a toborzási és betanítási költségek összehasonlítása is, hiszen általános tapasztalat, hogy az alacsony toborzási költségek magas betanítási költségekkel párosulnak, és fordítva. Bizonyos mutatók azonban - a hirdetési-költség elemzésének analógiájára - alkalmasak a toborzás költségeinek izolált bemutatására:</w:t>
      </w:r>
    </w:p>
    <w:p w:rsidR="006E6379" w:rsidRPr="006E6379" w:rsidRDefault="006E6379" w:rsidP="006E6379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snapToGrid w:val="0"/>
          <w:sz w:val="20"/>
        </w:rPr>
      </w:pPr>
    </w:p>
    <w:p w:rsidR="006E6379" w:rsidRPr="006E6379" w:rsidRDefault="006E6379" w:rsidP="006E6379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snapToGrid w:val="0"/>
          <w:sz w:val="20"/>
        </w:rPr>
      </w:pPr>
      <w:r w:rsidRPr="006E6379">
        <w:rPr>
          <w:rFonts w:ascii="TimesNewRoman" w:hAnsi="TimesNewRoman"/>
          <w:snapToGrid w:val="0"/>
          <w:sz w:val="20"/>
        </w:rPr>
        <w:t>(1) Az egy jelentkezőre eső toborzási költség:</w:t>
      </w:r>
      <w:r>
        <w:rPr>
          <w:rFonts w:ascii="TimesNewRoman" w:hAnsi="TimesNewRoman"/>
          <w:snapToGrid w:val="0"/>
          <w:sz w:val="20"/>
        </w:rPr>
        <w:t xml:space="preserve"> </w:t>
      </w:r>
      <w:r w:rsidRPr="006E6379">
        <w:rPr>
          <w:rFonts w:ascii="TimesNewRoman" w:hAnsi="TimesNewRoman"/>
          <w:snapToGrid w:val="0"/>
          <w:sz w:val="20"/>
        </w:rPr>
        <w:t>A toborzás összes költsége</w:t>
      </w:r>
      <w:r>
        <w:rPr>
          <w:rFonts w:ascii="TimesNewRoman" w:hAnsi="TimesNewRoman"/>
          <w:snapToGrid w:val="0"/>
          <w:sz w:val="20"/>
        </w:rPr>
        <w:t>/ jelentkezők száma</w:t>
      </w:r>
    </w:p>
    <w:p w:rsidR="006E6379" w:rsidRPr="006E6379" w:rsidRDefault="006E6379" w:rsidP="006E6379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snapToGrid w:val="0"/>
          <w:sz w:val="20"/>
        </w:rPr>
      </w:pPr>
      <w:r w:rsidRPr="006E6379">
        <w:rPr>
          <w:rFonts w:ascii="TimesNewRoman" w:hAnsi="TimesNewRoman"/>
          <w:snapToGrid w:val="0"/>
          <w:sz w:val="20"/>
        </w:rPr>
        <w:t>(2) Az egy felvett dolgozóra jutó toborzási költség:</w:t>
      </w:r>
      <w:r>
        <w:rPr>
          <w:rFonts w:ascii="TimesNewRoman" w:hAnsi="TimesNewRoman"/>
          <w:snapToGrid w:val="0"/>
          <w:sz w:val="20"/>
        </w:rPr>
        <w:t xml:space="preserve"> Toborzás összes költsége/</w:t>
      </w:r>
      <w:r w:rsidR="004144AC">
        <w:rPr>
          <w:rFonts w:ascii="TimesNewRoman" w:hAnsi="TimesNewRoman"/>
          <w:snapToGrid w:val="0"/>
          <w:sz w:val="20"/>
        </w:rPr>
        <w:t xml:space="preserve"> </w:t>
      </w:r>
      <w:r>
        <w:rPr>
          <w:rFonts w:ascii="TimesNewRoman" w:hAnsi="TimesNewRoman"/>
          <w:snapToGrid w:val="0"/>
          <w:sz w:val="20"/>
        </w:rPr>
        <w:t>felvett dolgozók száma</w:t>
      </w:r>
    </w:p>
    <w:p w:rsidR="006E6379" w:rsidRDefault="006E6379" w:rsidP="006E6379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i/>
          <w:snapToGrid w:val="0"/>
          <w:sz w:val="20"/>
        </w:rPr>
      </w:pPr>
    </w:p>
    <w:p w:rsidR="006E6379" w:rsidRPr="006E6379" w:rsidRDefault="006E6379" w:rsidP="006E6379">
      <w:pPr>
        <w:pBdr>
          <w:left w:val="single" w:sz="24" w:space="4" w:color="C0C0C0"/>
        </w:pBdr>
        <w:spacing w:line="276" w:lineRule="auto"/>
        <w:ind w:left="142" w:firstLine="425"/>
        <w:rPr>
          <w:rFonts w:ascii="TimesNewRoman" w:hAnsi="TimesNewRoman"/>
          <w:i/>
          <w:snapToGrid w:val="0"/>
          <w:sz w:val="20"/>
        </w:rPr>
      </w:pPr>
      <w:r w:rsidRPr="006E6379">
        <w:rPr>
          <w:rFonts w:ascii="TimesNewRoman" w:hAnsi="TimesNewRoman"/>
          <w:i/>
          <w:snapToGrid w:val="0"/>
          <w:sz w:val="20"/>
        </w:rPr>
        <w:t>Forrás: Pintér 1994, 9.o.</w:t>
      </w:r>
    </w:p>
    <w:p w:rsidR="006E6379" w:rsidRPr="00C40C8B" w:rsidRDefault="006E6379" w:rsidP="006E6379">
      <w:pPr>
        <w:spacing w:line="276" w:lineRule="auto"/>
        <w:rPr>
          <w:sz w:val="26"/>
        </w:rPr>
      </w:pPr>
    </w:p>
    <w:p w:rsidR="006E6379" w:rsidRPr="00C40C8B" w:rsidRDefault="006E6379" w:rsidP="006E6379">
      <w:pPr>
        <w:pStyle w:val="Irodalom"/>
        <w:spacing w:line="276" w:lineRule="auto"/>
        <w:rPr>
          <w:b/>
        </w:rPr>
      </w:pPr>
      <w:r w:rsidRPr="00C40C8B">
        <w:rPr>
          <w:b/>
        </w:rPr>
        <w:t>Irodalom</w:t>
      </w:r>
    </w:p>
    <w:p w:rsidR="006E6379" w:rsidRPr="00C40C8B" w:rsidRDefault="006E6379" w:rsidP="006E6379">
      <w:pPr>
        <w:spacing w:before="120" w:after="120" w:line="276" w:lineRule="auto"/>
        <w:ind w:left="284" w:hanging="284"/>
      </w:pPr>
      <w:r w:rsidRPr="00C40C8B">
        <w:t xml:space="preserve">Kiss Pál István (1994): </w:t>
      </w:r>
      <w:r w:rsidRPr="00C40C8B">
        <w:rPr>
          <w:i/>
        </w:rPr>
        <w:t>Humán erőforrás menedzsment</w:t>
      </w:r>
      <w:r w:rsidRPr="00C40C8B">
        <w:t>. Gödöllő: Emberi Erőforrások Fejlesztése Alapítvány</w:t>
      </w:r>
    </w:p>
    <w:p w:rsidR="001C0F5F" w:rsidRDefault="006E6379" w:rsidP="006E6379">
      <w:pPr>
        <w:spacing w:before="120" w:after="120" w:line="276" w:lineRule="auto"/>
        <w:ind w:left="284" w:hanging="284"/>
      </w:pPr>
      <w:r w:rsidRPr="00C40C8B">
        <w:t xml:space="preserve">Pintér Zsolt (1994): A sikeres és hatékony álláshirdetés titkai és mesterfogásai. </w:t>
      </w:r>
      <w:r w:rsidRPr="00C40C8B">
        <w:rPr>
          <w:i/>
        </w:rPr>
        <w:t>Humánpolitikai Szemle</w:t>
      </w:r>
      <w:r w:rsidRPr="00C40C8B">
        <w:t>, V. évf. 4.sz.</w:t>
      </w:r>
    </w:p>
    <w:p w:rsidR="001C0F5F" w:rsidRDefault="001C0F5F" w:rsidP="001C0F5F">
      <w:r>
        <w:br w:type="page"/>
      </w:r>
    </w:p>
    <w:p w:rsidR="006E6379" w:rsidRPr="00C40C8B" w:rsidRDefault="001C0F5F" w:rsidP="006E6379">
      <w:pPr>
        <w:spacing w:before="120" w:after="120" w:line="276" w:lineRule="auto"/>
        <w:ind w:left="284" w:hanging="284"/>
      </w:pPr>
      <w:bookmarkStart w:id="2" w:name="_GoBack"/>
      <w:r>
        <w:rPr>
          <w:noProof/>
        </w:rPr>
        <w:lastRenderedPageBreak/>
        <w:drawing>
          <wp:inline distT="0" distB="0" distL="0" distR="0">
            <wp:extent cx="5760720" cy="3237429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6E6379" w:rsidRPr="00C4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36A"/>
    <w:multiLevelType w:val="multilevel"/>
    <w:tmpl w:val="198A34A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91908D5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79"/>
    <w:rsid w:val="001C0F5F"/>
    <w:rsid w:val="004144AC"/>
    <w:rsid w:val="006E4E55"/>
    <w:rsid w:val="006E6379"/>
    <w:rsid w:val="00C86B9C"/>
    <w:rsid w:val="00F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63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customStyle="1" w:styleId="Irodalom">
    <w:name w:val="Irodalom"/>
    <w:basedOn w:val="Norml"/>
    <w:rsid w:val="006E6379"/>
    <w:pPr>
      <w:keepNext/>
      <w:spacing w:before="480" w:after="240"/>
      <w:ind w:firstLine="0"/>
      <w:jc w:val="center"/>
    </w:pPr>
    <w:rPr>
      <w:i/>
    </w:rPr>
  </w:style>
  <w:style w:type="paragraph" w:customStyle="1" w:styleId="Irodalom1">
    <w:name w:val="Irodalom1"/>
    <w:basedOn w:val="Norml"/>
    <w:rsid w:val="006E6379"/>
    <w:pPr>
      <w:ind w:left="567" w:hanging="567"/>
    </w:pPr>
  </w:style>
  <w:style w:type="paragraph" w:styleId="Szvegtrzsbehzssal3">
    <w:name w:val="Body Text Indent 3"/>
    <w:basedOn w:val="Norml"/>
    <w:link w:val="Szvegtrzsbehzssal3Char"/>
    <w:rsid w:val="006E6379"/>
  </w:style>
  <w:style w:type="character" w:customStyle="1" w:styleId="Szvegtrzsbehzssal3Char">
    <w:name w:val="Szövegtörzs behúzással 3 Char"/>
    <w:basedOn w:val="Bekezdsalapbettpusa"/>
    <w:link w:val="Szvegtrzsbehzssal3"/>
    <w:rsid w:val="006E6379"/>
    <w:rPr>
      <w:rFonts w:ascii="Times New Roman" w:eastAsia="Times New Roman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0F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0F5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63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customStyle="1" w:styleId="Irodalom">
    <w:name w:val="Irodalom"/>
    <w:basedOn w:val="Norml"/>
    <w:rsid w:val="006E6379"/>
    <w:pPr>
      <w:keepNext/>
      <w:spacing w:before="480" w:after="240"/>
      <w:ind w:firstLine="0"/>
      <w:jc w:val="center"/>
    </w:pPr>
    <w:rPr>
      <w:i/>
    </w:rPr>
  </w:style>
  <w:style w:type="paragraph" w:customStyle="1" w:styleId="Irodalom1">
    <w:name w:val="Irodalom1"/>
    <w:basedOn w:val="Norml"/>
    <w:rsid w:val="006E6379"/>
    <w:pPr>
      <w:ind w:left="567" w:hanging="567"/>
    </w:pPr>
  </w:style>
  <w:style w:type="paragraph" w:styleId="Szvegtrzsbehzssal3">
    <w:name w:val="Body Text Indent 3"/>
    <w:basedOn w:val="Norml"/>
    <w:link w:val="Szvegtrzsbehzssal3Char"/>
    <w:rsid w:val="006E6379"/>
  </w:style>
  <w:style w:type="character" w:customStyle="1" w:styleId="Szvegtrzsbehzssal3Char">
    <w:name w:val="Szövegtörzs behúzással 3 Char"/>
    <w:basedOn w:val="Bekezdsalapbettpusa"/>
    <w:link w:val="Szvegtrzsbehzssal3"/>
    <w:rsid w:val="006E6379"/>
    <w:rPr>
      <w:rFonts w:ascii="Times New Roman" w:eastAsia="Times New Roman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0F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0F5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Kurtosi Zsofia</dc:creator>
  <cp:lastModifiedBy>Farkas Zsoka</cp:lastModifiedBy>
  <cp:revision>4</cp:revision>
  <dcterms:created xsi:type="dcterms:W3CDTF">2018-09-13T13:47:00Z</dcterms:created>
  <dcterms:modified xsi:type="dcterms:W3CDTF">2018-11-15T16:39:00Z</dcterms:modified>
</cp:coreProperties>
</file>