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5" w:rsidRDefault="00976607" w:rsidP="00677D65">
      <w:pPr>
        <w:pStyle w:val="Cmsor1"/>
        <w:numPr>
          <w:ilvl w:val="0"/>
          <w:numId w:val="0"/>
        </w:numPr>
        <w:spacing w:line="276" w:lineRule="auto"/>
      </w:pPr>
      <w:r>
        <w:t>Olvasólecke időigénye: 9</w:t>
      </w:r>
      <w:r w:rsidR="00677D65">
        <w:t xml:space="preserve"> perc, készítette: Kürtösi Zsófia</w:t>
      </w:r>
    </w:p>
    <w:p w:rsidR="00F270E7" w:rsidRDefault="00677D65" w:rsidP="00677D65">
      <w:pPr>
        <w:pStyle w:val="Cmsor1"/>
        <w:numPr>
          <w:ilvl w:val="0"/>
          <w:numId w:val="0"/>
        </w:numPr>
      </w:pPr>
      <w:r>
        <w:rPr>
          <w:caps/>
        </w:rPr>
        <w:t>SZERVEZETEK MEGVÁLTOZÁSA</w:t>
      </w:r>
    </w:p>
    <w:p w:rsidR="00677D65" w:rsidRDefault="00677D65" w:rsidP="00677D65">
      <w:pPr>
        <w:spacing w:line="276" w:lineRule="auto"/>
        <w:ind w:firstLine="0"/>
        <w:rPr>
          <w:szCs w:val="24"/>
        </w:rPr>
      </w:pPr>
      <w:r w:rsidRPr="006F435C">
        <w:rPr>
          <w:szCs w:val="24"/>
        </w:rPr>
        <w:t>Az új évezredet a tudás alapú, információs technológiákra épülő gazdaság fogja uralni, amelyet (többek között) a globalizációnak köszönhetően a tőke – és jóval kisebb mértékben ugyan, de a munkaerő – növekvő mobilitása jellemez.</w:t>
      </w:r>
      <w:r>
        <w:rPr>
          <w:szCs w:val="24"/>
        </w:rPr>
        <w:t xml:space="preserve"> A korszak szervezetei éppúgy változatos felépítésűek, mint a korábbi korszakok hierarchiái, de bizonyos formák nagyobb mértékben terjednek el, míg mások visszaszorulnak. A szervezeti átalakulások jellemzően a piaci változásokból indulnak ki, arra reagálva alakulnak ki új, hatékonyabb, jobban működtethető megoldások.</w:t>
      </w:r>
    </w:p>
    <w:p w:rsidR="00677D65" w:rsidRPr="00B86D5B" w:rsidRDefault="00677D65" w:rsidP="00677D65">
      <w:pPr>
        <w:pStyle w:val="Cmsor1"/>
        <w:spacing w:line="276" w:lineRule="auto"/>
      </w:pPr>
      <w:r w:rsidRPr="00B86D5B">
        <w:t>A piacok megváltozása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 </w:t>
      </w:r>
      <w:r w:rsidRPr="008F425A">
        <w:rPr>
          <w:b/>
          <w:sz w:val="22"/>
          <w:szCs w:val="22"/>
        </w:rPr>
        <w:t>piacok megváltoztak</w:t>
      </w:r>
      <w:r w:rsidRPr="008F425A">
        <w:rPr>
          <w:sz w:val="22"/>
          <w:szCs w:val="22"/>
        </w:rPr>
        <w:t xml:space="preserve">: labilissá váltak és széttöredeztek, ugyanakkor a globalizálódó piac növelte a verseny intenzitását. A </w:t>
      </w:r>
      <w:r w:rsidRPr="008F425A">
        <w:rPr>
          <w:b/>
          <w:sz w:val="22"/>
          <w:szCs w:val="22"/>
        </w:rPr>
        <w:t>piacok átalakulásával átalakulnak a termékek</w:t>
      </w:r>
      <w:r w:rsidRPr="008F425A">
        <w:rPr>
          <w:sz w:val="22"/>
          <w:szCs w:val="22"/>
        </w:rPr>
        <w:t xml:space="preserve"> is, hogy megfeleljenek a minőségérzékeny, egyedi termékekre vágyó vevők gyorsan változó igényeinek: életciklusuk lerövidül, a termékek és szolgáltatások közti határvonal egyre inkább elmosódik: a klasszikus termékek is egyre több szolgáltatási funkcióval egészülnek ki (Szabó 2006).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Az egyediséget a termékek moduláris felépítése biztosítja: az egymáshoz tökéletesen illeszkedő egyszerű modulok mindegyike sokféle változatban létezik, ezeket összerakva pedig nagyszámú egymástól eltérő termékváltozat alakítható ki, és állítható elő tömegesen viszonylag alacsony költséggel (Kocsis–Szabó 2001).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 termelési/szolgáltatási rendszerek is átalakulnak: a tömegtermelést felváltja a „tömeges testreszabás”, mely „egyesíti magában a (…) </w:t>
      </w:r>
      <w:proofErr w:type="gramStart"/>
      <w:r w:rsidRPr="008F425A">
        <w:rPr>
          <w:sz w:val="22"/>
          <w:szCs w:val="22"/>
        </w:rPr>
        <w:t>kisipar »személyre</w:t>
      </w:r>
      <w:proofErr w:type="gramEnd"/>
      <w:r w:rsidRPr="008F425A">
        <w:rPr>
          <w:sz w:val="22"/>
          <w:szCs w:val="22"/>
        </w:rPr>
        <w:t xml:space="preserve"> szóló« voltát, változatosságát a tömegtermelés gyorsaságával és tökéletességével.” (Szabó 2000, p. 37). A megváltozott igények kiszolgálását lehetővé tévő termelési/szolgáltatási rendszerek alapvetően az információs technológiákra épülnek, amelyek áthatják a termékek, szolgáltatások előállításának teljes folyamatát.</w:t>
      </w:r>
    </w:p>
    <w:p w:rsidR="006B348C" w:rsidRDefault="006B348C" w:rsidP="006B348C">
      <w:pPr>
        <w:pStyle w:val="PHDszveg"/>
        <w:spacing w:line="276" w:lineRule="auto"/>
        <w:rPr>
          <w:sz w:val="22"/>
          <w:szCs w:val="22"/>
        </w:rPr>
      </w:pPr>
    </w:p>
    <w:p w:rsidR="006B348C" w:rsidRPr="009416B1" w:rsidRDefault="006B348C" w:rsidP="006B348C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>Moduláris termékek</w:t>
      </w:r>
    </w:p>
    <w:p w:rsidR="006B348C" w:rsidRDefault="006B348C" w:rsidP="006B348C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 w:rsidRPr="009416B1">
        <w:rPr>
          <w:sz w:val="20"/>
          <w:szCs w:val="20"/>
        </w:rPr>
        <w:t>A</w:t>
      </w:r>
      <w:r>
        <w:rPr>
          <w:sz w:val="20"/>
          <w:szCs w:val="20"/>
        </w:rPr>
        <w:t xml:space="preserve"> legtöbben a mobiltelefonokra gondolnak, mint klasszikus moduláris termékekre. Az okostelefonok előtti korszakban is már létezett a testreszabás lehetősége: a különböző előlapokkal egyedibbé lehetett tenni a terméket. Az előlapból, mint modulból sokféle változat létezett, egyszerűen rápattintható volt a különböző telefontípusokra. Az okostelefonok pedig az applikációkkal szabhatók személyre, hiába ugyanolyan maga a fizikai termék, a készülék, ha a kapcsolódó, az adott platformhoz illeszkedő részekkel teljesen egyénivé tehető.</w:t>
      </w:r>
    </w:p>
    <w:p w:rsidR="006B348C" w:rsidRDefault="006B348C" w:rsidP="006B348C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>
        <w:rPr>
          <w:sz w:val="20"/>
          <w:szCs w:val="20"/>
        </w:rPr>
        <w:t>De ennél sokkal egyszerűbb (nem okos) termékek is modularizálhatók. Pl. a Custom Ink 2000-ben alapított társaság alapvetően pólók, egyéb ruházati termékek, kiegészítők (toll, törölköző, táska, sapka), forgalmazásával foglalkozik, ugyanakkor a vásárlóknak lehetőségük van online megtervezni a saját pólójuk (vagy egyéb termékük) feliratát és design elemeit. A honlap számtalan lehetőséget ajánl: nem csak a felirat és egyéb rátett elemek színét lehet változtatni, de az elhelyezést, méretet, forgatási szöget, stb. A modulok itt maguk a design elemek (ezekből több száz van), amelyek segítségével teljesen egyedi termékek hozhatók létre egyetlen alaptermékből.</w:t>
      </w:r>
    </w:p>
    <w:p w:rsidR="006B348C" w:rsidRPr="006B348C" w:rsidRDefault="006B348C" w:rsidP="006B348C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i/>
          <w:sz w:val="20"/>
          <w:szCs w:val="20"/>
        </w:rPr>
      </w:pPr>
      <w:r w:rsidRPr="006B348C">
        <w:rPr>
          <w:i/>
          <w:sz w:val="20"/>
          <w:szCs w:val="20"/>
        </w:rPr>
        <w:t>Forrás: www.customink.com</w:t>
      </w:r>
    </w:p>
    <w:p w:rsidR="006B348C" w:rsidRDefault="006B348C" w:rsidP="006B348C">
      <w:pPr>
        <w:pStyle w:val="PHDszveg"/>
        <w:spacing w:line="276" w:lineRule="auto"/>
        <w:rPr>
          <w:sz w:val="22"/>
          <w:szCs w:val="22"/>
        </w:rPr>
      </w:pPr>
    </w:p>
    <w:p w:rsidR="00677D65" w:rsidRPr="00B86D5B" w:rsidRDefault="00677D65" w:rsidP="00677D65">
      <w:pPr>
        <w:pStyle w:val="Cmsor1"/>
        <w:spacing w:line="276" w:lineRule="auto"/>
      </w:pPr>
      <w:r w:rsidRPr="00B86D5B">
        <w:lastRenderedPageBreak/>
        <w:t>Megváltozó szervezetek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 posztmodern korszak szervezeteinek tehát megváltozott piacokon (kimeneti oldal) kell működni. A posztmodern munkaszervezetek a megváltozott – jóval bizonytalanabbá, kiszámíthatatlanabbá váló – környezeti viszonyokra reagálva a vertikálisan erősen tagolt, sok hierarchikus szinttel rendelkező fordista munkaszervezéssel szemben a flexibilitásra helyezik a hangsúlyt és igyekeznek lebontani a korábbi merev struktúrákat.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Ezt részben a moduláris termelési/szolgáltatási rendszerekhez igazodó ugyancsak moduláris felépítés biztosítja: a posztmodern szervezet csak a kulcstevékenységekre koncentrál, minden más tevékenységet és kapacitást kihelyez (outsourcing), külső szolgáltatókra bízva az előállítást (Szabó 1998). Ezzel a szervezetek nemcsak </w:t>
      </w:r>
      <w:r w:rsidRPr="008F425A">
        <w:rPr>
          <w:b/>
          <w:sz w:val="22"/>
          <w:szCs w:val="22"/>
        </w:rPr>
        <w:t>karcsúbbak, de laposabbak</w:t>
      </w:r>
      <w:r w:rsidRPr="008F425A">
        <w:rPr>
          <w:sz w:val="22"/>
          <w:szCs w:val="22"/>
        </w:rPr>
        <w:t xml:space="preserve"> is lesznek, jóval kevesebb szervezeti szinttel rendelkeznek, mint a korábbi „fordista piramisok”.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>Castells (2005) szerint e posztmodern korszakban a vállalati szervezeti modellek átalakulása a hálózatosodás felé mutat. A gyors technológiai és gazdasági változások indukálta bizonytalanság arra kényszeríti a szervezeteket, hogy maguk is hálózattá szerveződve dinamizálják belső struktúrájukat, kihasználva a számítógépes hálózatok, az üzleti egységek közti hálózatok és a személyek közti kapcsolathálózatok erejét és lehetőségeit (Castells 2005).</w:t>
      </w:r>
    </w:p>
    <w:p w:rsidR="00677D65" w:rsidRPr="00B86D5B" w:rsidRDefault="00677D65" w:rsidP="00677D65">
      <w:pPr>
        <w:pStyle w:val="Cmsor1"/>
        <w:spacing w:line="276" w:lineRule="auto"/>
      </w:pPr>
      <w:r w:rsidRPr="00B86D5B">
        <w:t>Megváltozó alkalmazási és foglalkoztatási formák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Ahogy erre Castells (2005) is utal, mindezek a szervezeti változások nem hagyják érintetlenül a szervezetben dolgozó munkavállalókat sem.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Egyrészt a hagyományos – azaz határozatlan idejű munkaszerződéssel teljes munkaidőben a szervezeti telephelyen végzett – munka helyett a szervezetek a </w:t>
      </w:r>
      <w:r w:rsidRPr="008F425A">
        <w:rPr>
          <w:b/>
          <w:sz w:val="22"/>
          <w:szCs w:val="22"/>
        </w:rPr>
        <w:t>rugalmasabb foglalkoztatást</w:t>
      </w:r>
      <w:r w:rsidRPr="008F425A">
        <w:rPr>
          <w:b/>
          <w:i/>
          <w:sz w:val="22"/>
          <w:szCs w:val="22"/>
        </w:rPr>
        <w:t xml:space="preserve"> </w:t>
      </w:r>
      <w:r w:rsidRPr="008F425A">
        <w:rPr>
          <w:sz w:val="22"/>
          <w:szCs w:val="22"/>
        </w:rPr>
        <w:t xml:space="preserve">lehetővé tévő atipikus formákat részesítik előnyben. Az infokommunikációs technológiák a munkatársak egy részének lehetővé teszik a szervezeten kívüli munkavégzést (távmunka), a munkaidő és szabadidő korábbi térbeli és időbeli szeparálódása csökken. Időleges munkaerőigényüket a gazdálkodó szervezetek részmunkaidős foglalkoztatással, határozott idejű szerződéssel vagy munkaerő-kölcsönzéssel elégítik ki, alkalmazottaik egy részét vállalkozóként vagy megbízási szerződéssel foglalkoztatják (Szabó – Négyesi 2004; Frey 2000). Ezek a formák lehetővé teszi a szervezeteknek, hogy munkaerő állományukat a gyorsan változó piaci körülményekhez igazítsák. 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Mivel </w:t>
      </w:r>
      <w:r w:rsidRPr="008F425A">
        <w:rPr>
          <w:b/>
          <w:sz w:val="22"/>
          <w:szCs w:val="22"/>
        </w:rPr>
        <w:t>az atipikus foglalkoztatás</w:t>
      </w:r>
      <w:r w:rsidRPr="008F425A">
        <w:rPr>
          <w:sz w:val="22"/>
          <w:szCs w:val="22"/>
        </w:rPr>
        <w:t xml:space="preserve"> előnye éppen a dolgozók könnyebb elbocsáthatóságában, alacsonyabb jogi védettségében rejlik, az így alkalmazott munkavállalók számára erősödik a bizonytalanság, nő a verseny. A kormányok e formák terjedésétől a munkaerőpiac flexibilitását, a hátrányos helyzetű munkaerő-piaci csoportok – így a nők, a fiatalok, a megváltozott munkaképességűek – jobb foglalkoztatási esélyeit várták, ugyanakkor megjelentek azok a bírálatok is, melyek szerint a munkavállalók nem </w:t>
      </w:r>
      <w:r w:rsidRPr="004F297B">
        <w:rPr>
          <w:sz w:val="22"/>
          <w:szCs w:val="22"/>
        </w:rPr>
        <w:t>önként vállalják az ilyen típusú foglalkoztatást, az így létrejövő állások pedig inkább alacsony státuszú, alacsony jövedelmű, előrelépést nem biztosító munkahelyeket jelentenek (Nacsa 1997).</w:t>
      </w:r>
      <w:r w:rsidRPr="008F425A">
        <w:rPr>
          <w:sz w:val="22"/>
          <w:szCs w:val="22"/>
        </w:rPr>
        <w:t xml:space="preserve"> A vállalatok a már meglévő klasszikus foglalkoztatásukat is szívesebben konvertálják át valamilyen atipikus formára, így ezek terjedése nem feltétlenül járul hozzá a foglalkoztatás növekedéséhez.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b/>
          <w:sz w:val="20"/>
          <w:szCs w:val="20"/>
        </w:rPr>
      </w:pPr>
      <w:r w:rsidRPr="009416B1">
        <w:rPr>
          <w:b/>
          <w:sz w:val="20"/>
          <w:szCs w:val="20"/>
        </w:rPr>
        <w:t>Sharing economy – Közösségi gazdaság</w:t>
      </w: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 w:rsidRPr="009416B1">
        <w:rPr>
          <w:sz w:val="20"/>
          <w:szCs w:val="20"/>
        </w:rPr>
        <w:t>Az Uber hazai megjelenése majd kitiltása ráirányította a figyelmet azokra az atipikus foglalkoztatási formákkal együtt járó jelenségekre, amelyek a sharing economy, azaz a megosztáson alapuló közösségi gazdaság fogalmához kapcsolódnak.</w:t>
      </w: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 w:rsidRPr="009416B1">
        <w:rPr>
          <w:sz w:val="20"/>
          <w:szCs w:val="20"/>
        </w:rPr>
        <w:t xml:space="preserve">A sharing economy fogalomköre számtalan tevékenységben megjelenhet. Ilyen lehet a személyszállítás (pl. Uber, Oszkár Telekocsi), a lakáskiadás (pl. AirBnB), étkeztetés (pl. tortasütés rendelésre vagy </w:t>
      </w:r>
      <w:r w:rsidRPr="009416B1">
        <w:rPr>
          <w:sz w:val="20"/>
          <w:szCs w:val="20"/>
        </w:rPr>
        <w:lastRenderedPageBreak/>
        <w:t>lakáséttermek), háztartási munkák (pl. takarítás) stb.</w:t>
      </w:r>
      <w:r>
        <w:rPr>
          <w:sz w:val="20"/>
          <w:szCs w:val="20"/>
        </w:rPr>
        <w:t>.</w:t>
      </w:r>
      <w:r w:rsidRPr="009416B1">
        <w:rPr>
          <w:sz w:val="20"/>
          <w:szCs w:val="20"/>
        </w:rPr>
        <w:t xml:space="preserve"> Ezek közös jellemzője, hogy az információs technológia (appok) segíti a partnerek egymásra találását, a minőségbiztosítást (pl. értékelési rendszerrel), az igénybevevő jellemzően olcsóbban jut a szolgáltatáshoz, míg a szolgáltatást nyújtó kiegészítő jövedelemre tesz szert, a foglalkoztatás </w:t>
      </w:r>
      <w:r>
        <w:rPr>
          <w:sz w:val="20"/>
          <w:szCs w:val="20"/>
        </w:rPr>
        <w:t xml:space="preserve">pedig </w:t>
      </w:r>
      <w:r w:rsidRPr="009416B1">
        <w:rPr>
          <w:sz w:val="20"/>
          <w:szCs w:val="20"/>
        </w:rPr>
        <w:t>rugalmas. (Persze nem minden esetben kell a szolgáltatásért fizetni, az szívességi alapon is működhet ld. pl. couchsurfing</w:t>
      </w:r>
      <w:r>
        <w:rPr>
          <w:sz w:val="20"/>
          <w:szCs w:val="20"/>
        </w:rPr>
        <w:t>. Vagy fizetni kell ugyan, de az hozzájárulásnak tekinthető, nem fedezi a költségeket. Pl. a telekocsi szolgáltatások esetén kritérium, hogy a sofőrnek is legyen dolga a célállomásom, és az utasok által kifizetett összeg ne legyen magasabb, mint az útiktg rájuk eső része. Ha ez utóbbi nem áll fenn, az már haszonszerzésnek és üzleti vállalkozásnak minősül.)</w:t>
      </w: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 w:rsidRPr="009416B1">
        <w:rPr>
          <w:sz w:val="20"/>
          <w:szCs w:val="20"/>
        </w:rPr>
        <w:t xml:space="preserve">Ugyanakkor bírálják is ezeket a </w:t>
      </w:r>
      <w:r>
        <w:rPr>
          <w:sz w:val="20"/>
          <w:szCs w:val="20"/>
        </w:rPr>
        <w:t xml:space="preserve">(hátteret biztosító) </w:t>
      </w:r>
      <w:r w:rsidRPr="009416B1">
        <w:rPr>
          <w:sz w:val="20"/>
          <w:szCs w:val="20"/>
        </w:rPr>
        <w:t xml:space="preserve">szolgáltatókat, hiszen a legtöbb esetben a szolgáltatatást szervező cégek szabályozása hiányzik, a szolgáltatást ténylegesen nyújtók gyakran kiszolgáltatottak: nincsenek alkalmazásban, így munkavállalói jogaik sincsenek. Olcsóságuk pedig ebből is eredhet (pl. az Uber cég a sofőröket egyéni vállalkozóként </w:t>
      </w:r>
      <w:r w:rsidR="00976607">
        <w:rPr>
          <w:sz w:val="20"/>
          <w:szCs w:val="20"/>
        </w:rPr>
        <w:t>„</w:t>
      </w:r>
      <w:r w:rsidRPr="009416B1">
        <w:rPr>
          <w:sz w:val="20"/>
          <w:szCs w:val="20"/>
        </w:rPr>
        <w:t>foglalkoztatta</w:t>
      </w:r>
      <w:r w:rsidR="00976607">
        <w:rPr>
          <w:sz w:val="20"/>
          <w:szCs w:val="20"/>
        </w:rPr>
        <w:t>”</w:t>
      </w:r>
      <w:r w:rsidRPr="009416B1">
        <w:rPr>
          <w:sz w:val="20"/>
          <w:szCs w:val="20"/>
        </w:rPr>
        <w:t xml:space="preserve">). Nincs kiválasztási eljárás, így a minőségbiztosítást az utólagos értékelés jelenti, ez azonban nem kontrollált. Az „alkalmazottak”-nak nincs érdekképviselete, ha panaszkodni mernek, könnyen </w:t>
      </w:r>
      <w:r>
        <w:rPr>
          <w:sz w:val="20"/>
          <w:szCs w:val="20"/>
        </w:rPr>
        <w:t>felfüggesztik fiókjukat. Ő</w:t>
      </w:r>
      <w:r w:rsidRPr="009416B1">
        <w:rPr>
          <w:sz w:val="20"/>
          <w:szCs w:val="20"/>
        </w:rPr>
        <w:t>k gyakorlatilag kényszervállalkozóknak tekinthetők. Ez az alkalmazási modell a hagyományos cégeknek is tetszetős lehet, ahol munkavállalók helyett szerződő partnerek végzik a szolgáltatást</w:t>
      </w:r>
      <w:r w:rsidR="00976607">
        <w:rPr>
          <w:sz w:val="20"/>
          <w:szCs w:val="20"/>
        </w:rPr>
        <w:t>,</w:t>
      </w:r>
      <w:r w:rsidRPr="009416B1">
        <w:rPr>
          <w:sz w:val="20"/>
          <w:szCs w:val="20"/>
        </w:rPr>
        <w:t xml:space="preserve"> és ahol nem kell bajlódni a foglalkoztatással járó terhekkel (adminisztrációval és szabályokkal).</w:t>
      </w: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 w:rsidRPr="009416B1">
        <w:rPr>
          <w:sz w:val="20"/>
          <w:szCs w:val="20"/>
        </w:rPr>
        <w:t>Valószínűleg megakadályozni nem lehet a modell terjedését, de szabályozással a szolgáltatást nyújtók védettsége növelhető.</w:t>
      </w:r>
    </w:p>
    <w:p w:rsidR="00677D65" w:rsidRPr="009416B1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i/>
          <w:sz w:val="20"/>
          <w:szCs w:val="20"/>
        </w:rPr>
      </w:pPr>
      <w:r w:rsidRPr="009416B1">
        <w:rPr>
          <w:i/>
          <w:sz w:val="20"/>
          <w:szCs w:val="20"/>
        </w:rPr>
        <w:t xml:space="preserve">Forrás: </w:t>
      </w:r>
      <w:hyperlink r:id="rId6" w:history="1">
        <w:r w:rsidRPr="009416B1">
          <w:rPr>
            <w:rStyle w:val="Hiperhivatkozs"/>
            <w:i/>
            <w:sz w:val="20"/>
            <w:szCs w:val="20"/>
          </w:rPr>
          <w:t>http://index.hu/gazdasag/2016/02/13/sharing_economy_kozossegi_gazdasag_munkavallalas_munka_foglalkoztatas/</w:t>
        </w:r>
      </w:hyperlink>
    </w:p>
    <w:p w:rsidR="00677D65" w:rsidRPr="00B16FBF" w:rsidRDefault="00677D65" w:rsidP="00677D65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i/>
          <w:sz w:val="20"/>
          <w:szCs w:val="20"/>
        </w:rPr>
      </w:pPr>
      <w:r w:rsidRPr="009416B1">
        <w:rPr>
          <w:i/>
          <w:sz w:val="20"/>
          <w:szCs w:val="20"/>
        </w:rPr>
        <w:t>http://hvg.hu/gazdasag/20140919_Kozossegi_vagyonmegosztas</w:t>
      </w:r>
    </w:p>
    <w:p w:rsidR="00677D65" w:rsidRDefault="00677D65" w:rsidP="00677D65">
      <w:pPr>
        <w:pStyle w:val="PHDszveg"/>
        <w:spacing w:line="276" w:lineRule="auto"/>
        <w:rPr>
          <w:sz w:val="22"/>
          <w:szCs w:val="22"/>
        </w:rPr>
      </w:pPr>
    </w:p>
    <w:p w:rsidR="00677D65" w:rsidRPr="008F425A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Nemcsak a foglalkoztatás viszonyai változnak meg, hanem a </w:t>
      </w:r>
      <w:r w:rsidRPr="008F425A">
        <w:rPr>
          <w:b/>
          <w:sz w:val="22"/>
          <w:szCs w:val="22"/>
        </w:rPr>
        <w:t>munkaszervezési módok</w:t>
      </w:r>
      <w:r w:rsidRPr="008F425A">
        <w:rPr>
          <w:sz w:val="22"/>
          <w:szCs w:val="22"/>
        </w:rPr>
        <w:t xml:space="preserve"> is igazodnak a szervezeti átalakulásokhoz és a munkavállalók képzettségi szintjének növekedéséhez. A hierarchia csökkenése, a kevesebb szervezeti szint a felelősségteljes feladatok alsóbb szintekre való delegálását vonja maga után: a feladatok többsége megmarad, csak azok szervezeti szintek közötti elosztása változik meg. A növekvő képzettségű, nagyobb tevékenységi és döntési autonómiát kedvelő munkavállalók képesek és hajlandóak is ellátni a nagyobb felelősséggel járó feladatokat. A hierarchikus szintek számának csökkenésével redukálódik a középvezetői pozíciók száma, ami élesebbé teszi az e posztokért folyó versenyt (Thomas–Dunkerley 1999). Az ilyen pozíciókba kerülésre illetve a bent maradásra elsősorban azoknak nagyobb az esélye, akiknek a jelenléte ezen a szervezeti szinten már megszokott, illetve akik vállalják az ilyen pozíciókkal járó nagyobb munkaterhelést.</w:t>
      </w:r>
    </w:p>
    <w:p w:rsidR="00677D65" w:rsidRPr="008F425A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>A szervezetek a specializált, kevés tudás alkalmazását igénylő munkakörök helyett kevésbé szűk, változatosabb munkafeladatokkal és több felelősséggel gazdagított munkaköröket definiálnak, a szervezetek bátorítják a munkavállalók együttműködését, előtérbe helyezik a csoportmunkát.</w:t>
      </w:r>
    </w:p>
    <w:p w:rsidR="00677D65" w:rsidRPr="008F425A" w:rsidRDefault="00677D65" w:rsidP="00677D65">
      <w:pPr>
        <w:pStyle w:val="PHDszveg"/>
        <w:spacing w:line="276" w:lineRule="auto"/>
        <w:rPr>
          <w:sz w:val="22"/>
          <w:szCs w:val="22"/>
        </w:rPr>
      </w:pPr>
      <w:r w:rsidRPr="008F425A">
        <w:rPr>
          <w:sz w:val="22"/>
          <w:szCs w:val="22"/>
        </w:rPr>
        <w:t xml:space="preserve">Az intenzívebbé váló versenyre a szervezetek a </w:t>
      </w:r>
      <w:r w:rsidRPr="008F425A">
        <w:rPr>
          <w:b/>
          <w:sz w:val="22"/>
          <w:szCs w:val="22"/>
        </w:rPr>
        <w:t>munkaterhelés növelésével</w:t>
      </w:r>
      <w:r w:rsidRPr="008F425A">
        <w:rPr>
          <w:sz w:val="22"/>
          <w:szCs w:val="22"/>
        </w:rPr>
        <w:t xml:space="preserve"> válaszolnak, az ezzel járó terheket (pl. hosszú munkanapokat, hétvégi képzéseket) azok tudják vállalni, akik kevesebb otthoni kötelezettséggel rendelkeznek. A szervezetek egy része nem hajlandó elismerni, illetve nehezen tolerálja a dolgozók munkahelyen kívüli életéből eredő igényeit (melyek pl. a gyerekvállaláshoz vagy az idősgondozáshoz kapcsolódnak), mivel ez megszakítja a munkavégzés normál folyamatait (Acker 1998). Azon munkavállalókat vagy potenciális jelölteket pedig, akik – akár csak feltételezett – családi kötelezettségeik miatt nem tűnnek eléggé terhelhetőnek, a szervezetek a kiválasztási vagy előléptetési eljárások során – a diszkriminációt tiltó jogszabályok miatt immár nem nyílt, hanem burkolt formában – igyekeznek kirostálni.</w:t>
      </w:r>
    </w:p>
    <w:p w:rsidR="00677D65" w:rsidRDefault="00677D65"/>
    <w:p w:rsidR="00677D65" w:rsidRPr="00C40C8B" w:rsidRDefault="00677D65" w:rsidP="00677D65">
      <w:pPr>
        <w:pStyle w:val="Irodalom"/>
      </w:pPr>
      <w:r w:rsidRPr="00C40C8B">
        <w:rPr>
          <w:b/>
        </w:rPr>
        <w:lastRenderedPageBreak/>
        <w:t>Irodalom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Acker, J. (1998): The Future of ‘Gender and Organizations’: Connections and Boundaries. </w:t>
      </w:r>
      <w:r w:rsidRPr="008F425A">
        <w:rPr>
          <w:i/>
        </w:rPr>
        <w:t>Gender, Work and Organization</w:t>
      </w:r>
      <w:r w:rsidRPr="008F425A">
        <w:t>, Vol. 5, No.4., 195-206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Castells, M. (2005): </w:t>
      </w:r>
      <w:r w:rsidRPr="008F425A">
        <w:rPr>
          <w:i/>
        </w:rPr>
        <w:t>A hálózati társadalom kialakulása. Az információ kora. Gazdaság, társadalom, kultúra</w:t>
      </w:r>
      <w:r w:rsidRPr="008F425A">
        <w:t xml:space="preserve"> 1. köt.. Budapest: Gondolat-Infonia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Frey M. (2000): A munkaidő rendszerek rugalmassá válása. </w:t>
      </w:r>
      <w:r w:rsidRPr="008F425A">
        <w:rPr>
          <w:i/>
        </w:rPr>
        <w:t>Közgazdasági Szemle</w:t>
      </w:r>
      <w:r w:rsidRPr="008F425A">
        <w:t>, XLVII.évf., December, 1008-1026</w:t>
      </w:r>
    </w:p>
    <w:p w:rsidR="00677D65" w:rsidRDefault="00677D65" w:rsidP="00677D65">
      <w:pPr>
        <w:spacing w:after="120"/>
        <w:ind w:left="426" w:hanging="426"/>
      </w:pPr>
      <w:r w:rsidRPr="008F425A">
        <w:t xml:space="preserve">Kocsis É. – Szabó K. (2001): Modularitás és változatossági hozadék. </w:t>
      </w:r>
      <w:r w:rsidRPr="008F425A">
        <w:rPr>
          <w:i/>
        </w:rPr>
        <w:t>Közgazdasági Szemle</w:t>
      </w:r>
      <w:r w:rsidRPr="008F425A">
        <w:t>, XLVIII. évf., 9.sz., 745-765</w:t>
      </w:r>
    </w:p>
    <w:p w:rsidR="00677D65" w:rsidRPr="008F425A" w:rsidRDefault="00677D65" w:rsidP="00677D65">
      <w:pPr>
        <w:autoSpaceDE w:val="0"/>
        <w:autoSpaceDN w:val="0"/>
        <w:adjustRightInd w:val="0"/>
        <w:spacing w:after="120"/>
        <w:ind w:left="567" w:hanging="567"/>
        <w:rPr>
          <w:color w:val="000000"/>
        </w:rPr>
      </w:pPr>
      <w:r w:rsidRPr="008F425A">
        <w:rPr>
          <w:color w:val="000000"/>
        </w:rPr>
        <w:t xml:space="preserve">Nacsa B. (1997): Az atipikus munkaviszonyok szabályozása Nyugat-Európa egyes országaiban. In Laky Teréz (szerk.): </w:t>
      </w:r>
      <w:r w:rsidRPr="008F425A">
        <w:rPr>
          <w:i/>
          <w:color w:val="000000"/>
        </w:rPr>
        <w:t>Az atipikus foglalkoztatási formák. Európai Tükör: Műhelytanulmányok.</w:t>
      </w:r>
      <w:r w:rsidRPr="008F425A">
        <w:rPr>
          <w:color w:val="000000"/>
        </w:rPr>
        <w:t xml:space="preserve"> Budapest: Integrációs Stratégiai Munkacsoport, 47-69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Szabó K. (1998): Kihelyezési hullám. </w:t>
      </w:r>
      <w:r w:rsidRPr="008F425A">
        <w:rPr>
          <w:i/>
        </w:rPr>
        <w:t>Közgazdasági Szemle</w:t>
      </w:r>
      <w:r w:rsidRPr="008F425A">
        <w:t>, XLV. évf., 2. sz., 137-153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Szabó K. (2006): Az infokommunikációs technológiák hatása a hagyományos gazdasági határvonalakra. </w:t>
      </w:r>
      <w:r w:rsidRPr="008F425A">
        <w:rPr>
          <w:i/>
        </w:rPr>
        <w:t>Külgazdaság</w:t>
      </w:r>
      <w:r w:rsidRPr="008F425A">
        <w:t>, L. évf., szeptember-október, 4-28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Szabó K. (2000): A személyes tömegtermelés. </w:t>
      </w:r>
      <w:r w:rsidRPr="008F425A">
        <w:rPr>
          <w:i/>
        </w:rPr>
        <w:t>Külgazdaság</w:t>
      </w:r>
      <w:r w:rsidRPr="008F425A">
        <w:t>, XLIV. évf., szeptember, 35-49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Szabó K. – Négyesi Á. (2004): Az atipikus munka térnyerésének okai a tudásgazdaságban. </w:t>
      </w:r>
      <w:r w:rsidRPr="008F425A">
        <w:rPr>
          <w:i/>
        </w:rPr>
        <w:t>Közgazdasági Szemle</w:t>
      </w:r>
      <w:r w:rsidRPr="008F425A">
        <w:t>, LI. évf., 1.sz., 46-65</w:t>
      </w:r>
    </w:p>
    <w:p w:rsidR="00677D65" w:rsidRPr="008F425A" w:rsidRDefault="00677D65" w:rsidP="00677D65">
      <w:pPr>
        <w:spacing w:after="120"/>
        <w:ind w:left="426" w:hanging="426"/>
      </w:pPr>
      <w:r w:rsidRPr="008F425A">
        <w:t xml:space="preserve">Thomas, R. – Dunkerley, D. (1999): Careering Downwards? Middle Managers’ Experiences in the Downsized Organization. </w:t>
      </w:r>
      <w:r w:rsidRPr="008F425A">
        <w:rPr>
          <w:i/>
        </w:rPr>
        <w:t>British Journal of Management</w:t>
      </w:r>
      <w:r w:rsidRPr="008F425A">
        <w:t>, Vol. 10., No. 2., 157-196</w:t>
      </w:r>
    </w:p>
    <w:p w:rsidR="00B934F3" w:rsidRDefault="00B934F3">
      <w:pPr>
        <w:spacing w:after="200" w:line="276" w:lineRule="auto"/>
        <w:ind w:firstLine="0"/>
        <w:jc w:val="left"/>
      </w:pPr>
      <w:r>
        <w:br w:type="page"/>
      </w:r>
    </w:p>
    <w:p w:rsidR="00677D65" w:rsidRDefault="00B934F3"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5"/>
    <w:rsid w:val="00162968"/>
    <w:rsid w:val="00677D65"/>
    <w:rsid w:val="006B348C"/>
    <w:rsid w:val="006E4E55"/>
    <w:rsid w:val="00976607"/>
    <w:rsid w:val="00B934F3"/>
    <w:rsid w:val="00C454BE"/>
    <w:rsid w:val="00E13459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D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character" w:styleId="Hiperhivatkozs">
    <w:name w:val="Hyperlink"/>
    <w:rsid w:val="00677D65"/>
    <w:rPr>
      <w:color w:val="0000FF"/>
      <w:u w:val="single"/>
    </w:rPr>
  </w:style>
  <w:style w:type="paragraph" w:customStyle="1" w:styleId="PHDszveg">
    <w:name w:val="PHD szöveg"/>
    <w:basedOn w:val="Norml"/>
    <w:link w:val="PHDszvegChar"/>
    <w:rsid w:val="00677D65"/>
    <w:pPr>
      <w:spacing w:line="360" w:lineRule="auto"/>
    </w:pPr>
    <w:rPr>
      <w:sz w:val="24"/>
      <w:szCs w:val="18"/>
    </w:rPr>
  </w:style>
  <w:style w:type="character" w:customStyle="1" w:styleId="PHDszvegChar">
    <w:name w:val="PHD szöveg Char"/>
    <w:link w:val="PHDszveg"/>
    <w:rsid w:val="00677D65"/>
    <w:rPr>
      <w:rFonts w:ascii="Times New Roman" w:eastAsia="Times New Roman" w:hAnsi="Times New Roman" w:cs="Times New Roman"/>
      <w:sz w:val="24"/>
      <w:szCs w:val="18"/>
      <w:lang w:eastAsia="hu-HU"/>
    </w:rPr>
  </w:style>
  <w:style w:type="paragraph" w:customStyle="1" w:styleId="Irodalom">
    <w:name w:val="Irodalom"/>
    <w:basedOn w:val="Norml"/>
    <w:rsid w:val="00677D65"/>
    <w:pPr>
      <w:keepNext/>
      <w:spacing w:before="480" w:after="240"/>
      <w:ind w:firstLine="0"/>
      <w:jc w:val="center"/>
    </w:pPr>
    <w:rPr>
      <w:i/>
    </w:rPr>
  </w:style>
  <w:style w:type="paragraph" w:customStyle="1" w:styleId="Default">
    <w:name w:val="Default"/>
    <w:rsid w:val="0067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4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4F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D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character" w:styleId="Hiperhivatkozs">
    <w:name w:val="Hyperlink"/>
    <w:rsid w:val="00677D65"/>
    <w:rPr>
      <w:color w:val="0000FF"/>
      <w:u w:val="single"/>
    </w:rPr>
  </w:style>
  <w:style w:type="paragraph" w:customStyle="1" w:styleId="PHDszveg">
    <w:name w:val="PHD szöveg"/>
    <w:basedOn w:val="Norml"/>
    <w:link w:val="PHDszvegChar"/>
    <w:rsid w:val="00677D65"/>
    <w:pPr>
      <w:spacing w:line="360" w:lineRule="auto"/>
    </w:pPr>
    <w:rPr>
      <w:sz w:val="24"/>
      <w:szCs w:val="18"/>
    </w:rPr>
  </w:style>
  <w:style w:type="character" w:customStyle="1" w:styleId="PHDszvegChar">
    <w:name w:val="PHD szöveg Char"/>
    <w:link w:val="PHDszveg"/>
    <w:rsid w:val="00677D65"/>
    <w:rPr>
      <w:rFonts w:ascii="Times New Roman" w:eastAsia="Times New Roman" w:hAnsi="Times New Roman" w:cs="Times New Roman"/>
      <w:sz w:val="24"/>
      <w:szCs w:val="18"/>
      <w:lang w:eastAsia="hu-HU"/>
    </w:rPr>
  </w:style>
  <w:style w:type="paragraph" w:customStyle="1" w:styleId="Irodalom">
    <w:name w:val="Irodalom"/>
    <w:basedOn w:val="Norml"/>
    <w:rsid w:val="00677D65"/>
    <w:pPr>
      <w:keepNext/>
      <w:spacing w:before="480" w:after="240"/>
      <w:ind w:firstLine="0"/>
      <w:jc w:val="center"/>
    </w:pPr>
    <w:rPr>
      <w:i/>
    </w:rPr>
  </w:style>
  <w:style w:type="paragraph" w:customStyle="1" w:styleId="Default">
    <w:name w:val="Default"/>
    <w:rsid w:val="0067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4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4F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x.hu/gazdasag/2016/02/13/sharing_economy_kozossegi_gazdasag_munkavallalas_munka_foglalkoztat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1573</Words>
  <Characters>10858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5</cp:revision>
  <dcterms:created xsi:type="dcterms:W3CDTF">2018-08-31T08:52:00Z</dcterms:created>
  <dcterms:modified xsi:type="dcterms:W3CDTF">2018-11-15T16:37:00Z</dcterms:modified>
</cp:coreProperties>
</file>