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Pr="006D39E2" w:rsidRDefault="006D39E2" w:rsidP="006D39E2">
      <w:pPr>
        <w:jc w:val="center"/>
        <w:rPr>
          <w:sz w:val="28"/>
          <w:szCs w:val="28"/>
        </w:rPr>
      </w:pPr>
      <w:r w:rsidRPr="006D39E2">
        <w:rPr>
          <w:sz w:val="28"/>
          <w:szCs w:val="28"/>
        </w:rPr>
        <w:t>A perbeli bizonyítás szabályai</w:t>
      </w:r>
    </w:p>
    <w:p w:rsidR="006D39E2" w:rsidRDefault="006D39E2" w:rsidP="006D39E2">
      <w:pPr>
        <w:jc w:val="center"/>
      </w:pPr>
    </w:p>
    <w:p w:rsidR="006D39E2" w:rsidRDefault="006D39E2" w:rsidP="006D39E2">
      <w:pPr>
        <w:jc w:val="center"/>
      </w:pPr>
      <w:r>
        <w:t>I.</w:t>
      </w:r>
      <w:proofErr w:type="gramStart"/>
      <w:r>
        <w:t>A</w:t>
      </w:r>
      <w:proofErr w:type="gramEnd"/>
      <w:r>
        <w:t xml:space="preserve"> bizonyítás általános szabályai</w:t>
      </w:r>
    </w:p>
    <w:p w:rsidR="006D39E2" w:rsidRDefault="006D39E2" w:rsidP="00A45A0C">
      <w:bookmarkStart w:id="0" w:name="_GoBack"/>
      <w:bookmarkEnd w:id="0"/>
    </w:p>
    <w:p w:rsidR="006D39E2" w:rsidRDefault="006D39E2" w:rsidP="006D39E2">
      <w:pPr>
        <w:jc w:val="both"/>
      </w:pPr>
      <w:r>
        <w:t xml:space="preserve">A polgári perekben érvényesül a szabad bizonyítás elve, azaz nincs kötött bizonyítási rendszer, bármilyen alkalmas eszközt bizonyítékként lehet felhasználni. A bíróság azt a bizonyítást foganatosítja, amelyet alkalmasnak tart arra, hogy a vitás </w:t>
      </w:r>
      <w:proofErr w:type="gramStart"/>
      <w:r>
        <w:t>tény igazolást</w:t>
      </w:r>
      <w:proofErr w:type="gramEnd"/>
      <w:r>
        <w:t xml:space="preserve"> nyerjen. Az alkalmasság mellet a bizonyítás során érvényesülnie kell a célszerűségnek, az észszerűségnek és az okszerűségnek is. A bíróság oldaláról korlátozást jelent, hogy a bizonyítással kapcsolatos rendelkezéseit legkésőbb az ítélet indokolásában ki kell munkálnia. A szabad bizonyítás elvének korlátját jelentik a megdönthetetlen törvényi vélelmek és </w:t>
      </w:r>
      <w:proofErr w:type="gramStart"/>
      <w:r>
        <w:t>fikciók</w:t>
      </w:r>
      <w:proofErr w:type="gramEnd"/>
      <w:r>
        <w:t>, továbbá a nevesített bizonyítási módok lefolytatására vonatkozó előírások, valamint egyes esetekben kivételesen előírja a törvény, hogy meghatározott bizonyítási mód felhasználására kerülhet sor. Erre példa az apaság megállapítása iránti per, ahol szakértői vizsgálattal a DNS alapján kerül meghatározásra az apa személye.</w:t>
      </w:r>
    </w:p>
    <w:p w:rsidR="006D39E2" w:rsidRDefault="006D39E2" w:rsidP="00A45A0C"/>
    <w:p w:rsidR="006D39E2" w:rsidRDefault="006D39E2" w:rsidP="006D39E2">
      <w:pPr>
        <w:jc w:val="both"/>
      </w:pPr>
      <w:r>
        <w:t>A bíróság a per során a felek előadása és a bizonyítás eredményeként szabadon állapíthatja meg a tényállást, más hatóságok döntései nem kötik. Jogerősen elbírált bűncselekmény esetében azonban a polgári ügyben eljáró bíróság nem állapíthatja meg azt, hogy a terhelt nem követte el a terhére rótt bűncselekményt. K</w:t>
      </w:r>
      <w:r w:rsidRPr="006C3720">
        <w:t xml:space="preserve">özigazgatási ügyben eljáró bíróság közigazgatási tevékenység jogszerűségének kérdésében hozott jogerős döntése </w:t>
      </w:r>
      <w:r>
        <w:t xml:space="preserve">úgyszintén köti a polgári ügyben eljáró bíróságot. </w:t>
      </w:r>
    </w:p>
    <w:p w:rsidR="006D39E2" w:rsidRDefault="006D39E2" w:rsidP="00A45A0C"/>
    <w:p w:rsidR="006D39E2" w:rsidRDefault="006D39E2" w:rsidP="006D39E2">
      <w:pPr>
        <w:jc w:val="both"/>
      </w:pPr>
      <w:r>
        <w:t>A bizonyítási eljárás célja a bíróság meggyőződésének a kialakítása egy vitatott tény vonatkozásában azért, hogy a fél által előadottakat valósnak fogadja el. A bizonyítás foganatosítása főszabályként az érdemi tárgyalási szak része. A bizonyítási eljárás menete az alábbiak szerint alakul:</w:t>
      </w:r>
    </w:p>
    <w:p w:rsidR="006D39E2" w:rsidRDefault="006D39E2" w:rsidP="006D39E2">
      <w:pPr>
        <w:jc w:val="both"/>
      </w:pPr>
    </w:p>
    <w:p w:rsidR="006D39E2" w:rsidRPr="008D0EA8" w:rsidRDefault="006D39E2" w:rsidP="006D39E2">
      <w:pPr>
        <w:pStyle w:val="Listaszerbekezds"/>
        <w:numPr>
          <w:ilvl w:val="0"/>
          <w:numId w:val="17"/>
        </w:numPr>
        <w:contextualSpacing/>
        <w:jc w:val="both"/>
      </w:pPr>
      <w:r w:rsidRPr="008D0EA8">
        <w:t>bizonyítás szükségességének a megállapítása,</w:t>
      </w:r>
    </w:p>
    <w:p w:rsidR="006D39E2" w:rsidRPr="008D0EA8" w:rsidRDefault="006D39E2" w:rsidP="006D39E2">
      <w:pPr>
        <w:pStyle w:val="Listaszerbekezds"/>
        <w:numPr>
          <w:ilvl w:val="0"/>
          <w:numId w:val="17"/>
        </w:numPr>
        <w:contextualSpacing/>
        <w:jc w:val="both"/>
      </w:pPr>
      <w:r w:rsidRPr="008D0EA8">
        <w:t>bizonyításra szoruló tények meghatározása,</w:t>
      </w:r>
    </w:p>
    <w:p w:rsidR="006D39E2" w:rsidRPr="008D0EA8" w:rsidRDefault="006D39E2" w:rsidP="006D39E2">
      <w:pPr>
        <w:pStyle w:val="Listaszerbekezds"/>
        <w:numPr>
          <w:ilvl w:val="0"/>
          <w:numId w:val="17"/>
        </w:numPr>
        <w:contextualSpacing/>
        <w:jc w:val="both"/>
      </w:pPr>
      <w:r w:rsidRPr="008D0EA8">
        <w:t>bizonyítási érdek és bizonyítási teher meghatározása,</w:t>
      </w:r>
    </w:p>
    <w:p w:rsidR="006D39E2" w:rsidRPr="008D0EA8" w:rsidRDefault="006D39E2" w:rsidP="006D39E2">
      <w:pPr>
        <w:pStyle w:val="Listaszerbekezds"/>
        <w:numPr>
          <w:ilvl w:val="0"/>
          <w:numId w:val="17"/>
        </w:numPr>
        <w:contextualSpacing/>
        <w:jc w:val="both"/>
      </w:pPr>
      <w:r w:rsidRPr="008D0EA8">
        <w:t>bizonyítási indítványok előterjesztése,</w:t>
      </w:r>
    </w:p>
    <w:p w:rsidR="006D39E2" w:rsidRPr="008D0EA8" w:rsidRDefault="006D39E2" w:rsidP="006D39E2">
      <w:pPr>
        <w:pStyle w:val="Listaszerbekezds"/>
        <w:numPr>
          <w:ilvl w:val="0"/>
          <w:numId w:val="17"/>
        </w:numPr>
        <w:contextualSpacing/>
        <w:jc w:val="both"/>
      </w:pPr>
      <w:r w:rsidRPr="008D0EA8">
        <w:t>bizonyítás foganatosítása,</w:t>
      </w:r>
    </w:p>
    <w:p w:rsidR="006D39E2" w:rsidRDefault="006D39E2" w:rsidP="006D39E2">
      <w:pPr>
        <w:pStyle w:val="Listaszerbekezds"/>
        <w:numPr>
          <w:ilvl w:val="0"/>
          <w:numId w:val="17"/>
        </w:numPr>
        <w:contextualSpacing/>
        <w:jc w:val="both"/>
      </w:pPr>
      <w:r w:rsidRPr="008D0EA8">
        <w:t>bizonyítás eredményének értékelése.</w:t>
      </w:r>
    </w:p>
    <w:p w:rsidR="006D39E2" w:rsidRDefault="006D39E2" w:rsidP="006D39E2">
      <w:pPr>
        <w:jc w:val="both"/>
      </w:pPr>
    </w:p>
    <w:p w:rsidR="006D39E2" w:rsidRDefault="006D39E2" w:rsidP="006D39E2">
      <w:pPr>
        <w:jc w:val="both"/>
      </w:pPr>
      <w:r>
        <w:t xml:space="preserve">A perek jelentős részében a tényállás megállapítása során bizonyítást kell lefolytatni. Abban az esetben azonban, ha az ellenérdekű fél elismeri a felperes követelését nincs </w:t>
      </w:r>
      <w:proofErr w:type="gramStart"/>
      <w:r>
        <w:t>szükség bizonyításra</w:t>
      </w:r>
      <w:proofErr w:type="gramEnd"/>
      <w:r>
        <w:t>.</w:t>
      </w:r>
    </w:p>
    <w:p w:rsidR="006D39E2" w:rsidRDefault="006D39E2" w:rsidP="00A45A0C"/>
    <w:p w:rsidR="00DD264D" w:rsidRDefault="00DD264D" w:rsidP="00DD264D">
      <w:pPr>
        <w:jc w:val="both"/>
      </w:pPr>
      <w:r>
        <w:t xml:space="preserve">A bizonyítási eljárás tárgyai tények és tapasztalati tételek lehetnek. A tények általában múltban megtörtént tényekre vonatkoznak, </w:t>
      </w:r>
      <w:proofErr w:type="spellStart"/>
      <w:r>
        <w:t>jelenbeli</w:t>
      </w:r>
      <w:proofErr w:type="spellEnd"/>
      <w:r>
        <w:t xml:space="preserve"> és jövőbeli tények bizonyítása kivételesen lehetséges, </w:t>
      </w:r>
      <w:r>
        <w:lastRenderedPageBreak/>
        <w:t xml:space="preserve">például gondnokság alá helyezési perben a személy elmeállapota. Bizonyítás tárgyát nem képezheti jogszabály, ugyanis azt a perben alkalmazni, értelmezni kell. </w:t>
      </w:r>
    </w:p>
    <w:p w:rsidR="00DD264D" w:rsidRDefault="00DD264D" w:rsidP="00A45A0C"/>
    <w:p w:rsidR="00DD264D" w:rsidRDefault="00DD264D" w:rsidP="00DD264D">
      <w:pPr>
        <w:jc w:val="both"/>
      </w:pPr>
      <w:r>
        <w:t xml:space="preserve">A bizonyítási érdek azt mutatja meg, hogy a peres felek között a bizonyítás hogyan oszlik meg, mely tények bizonyítására mely fél köteles. A bizonyítási teher ezzel szemben azt mutatja meg, hogy a bizonyítatlanság következményeit melyik fél viseli. Rendszerint a bizonyítási érdek és a bizonyítási teher egybeesik, de törvényes vélelmek, ideiglenes igazságok esetén átfordul. </w:t>
      </w:r>
    </w:p>
    <w:p w:rsidR="00DD264D" w:rsidRDefault="00DD264D" w:rsidP="00DD264D">
      <w:pPr>
        <w:jc w:val="both"/>
      </w:pPr>
      <w:r>
        <w:t xml:space="preserve">Sajátos rendelkezések érvényesülnek a bizonyítási szükséghelyzet fennállása esetén. Bizonyítási szükséghelyzetről akkor beszélhetünk, ha </w:t>
      </w:r>
    </w:p>
    <w:p w:rsidR="00DD264D" w:rsidRDefault="00DD264D" w:rsidP="00DD264D">
      <w:pPr>
        <w:jc w:val="both"/>
      </w:pPr>
    </w:p>
    <w:p w:rsidR="00DD264D" w:rsidRPr="00DC3F7A" w:rsidRDefault="00DD264D" w:rsidP="00DD264D">
      <w:pPr>
        <w:pStyle w:val="Listaszerbekezds"/>
        <w:numPr>
          <w:ilvl w:val="0"/>
          <w:numId w:val="18"/>
        </w:numPr>
        <w:contextualSpacing/>
        <w:jc w:val="both"/>
      </w:pPr>
      <w:r w:rsidRPr="00DC3F7A">
        <w:t>a bizonyítási indítvány előterjesztéséhez szüks</w:t>
      </w:r>
      <w:r>
        <w:t xml:space="preserve">ég </w:t>
      </w:r>
      <w:proofErr w:type="gramStart"/>
      <w:r>
        <w:t>információkkal</w:t>
      </w:r>
      <w:proofErr w:type="gramEnd"/>
      <w:r>
        <w:t xml:space="preserve"> az ellenérdekű</w:t>
      </w:r>
      <w:r w:rsidRPr="00DC3F7A">
        <w:t xml:space="preserve"> fél rendelkezik, vagy</w:t>
      </w:r>
    </w:p>
    <w:p w:rsidR="00DD264D" w:rsidRPr="00DC3F7A" w:rsidRDefault="00DD264D" w:rsidP="00DD264D">
      <w:pPr>
        <w:pStyle w:val="Listaszerbekezds"/>
        <w:numPr>
          <w:ilvl w:val="0"/>
          <w:numId w:val="18"/>
        </w:numPr>
        <w:contextualSpacing/>
        <w:jc w:val="both"/>
      </w:pPr>
      <w:r w:rsidRPr="00DC3F7A">
        <w:t xml:space="preserve">tényállítás bizonyítása számára nem lehetséges, de az ellenérdekű féltől elvárható az állított tények fenn nem állásának a bizonyítása, vagy </w:t>
      </w:r>
    </w:p>
    <w:p w:rsidR="00DD264D" w:rsidRDefault="00DD264D" w:rsidP="00DD264D">
      <w:pPr>
        <w:pStyle w:val="Listaszerbekezds"/>
        <w:numPr>
          <w:ilvl w:val="0"/>
          <w:numId w:val="18"/>
        </w:numPr>
        <w:contextualSpacing/>
        <w:jc w:val="both"/>
      </w:pPr>
      <w:r w:rsidRPr="00DC3F7A">
        <w:t>a bizonyítás sikerességét az ellenérdekű fél neki felróhatóan hiúsította meg</w:t>
      </w:r>
      <w:r>
        <w:t xml:space="preserve"> és az ellenérdekű fél nem valószínűsiti ezek ellenkezőjét. </w:t>
      </w:r>
    </w:p>
    <w:p w:rsidR="00DD264D" w:rsidRDefault="00DD264D" w:rsidP="00DD264D">
      <w:pPr>
        <w:jc w:val="both"/>
      </w:pPr>
    </w:p>
    <w:p w:rsidR="00DD264D" w:rsidRDefault="00DD264D" w:rsidP="00DD264D">
      <w:pPr>
        <w:jc w:val="both"/>
      </w:pPr>
      <w:r>
        <w:t xml:space="preserve">A bizonyítási szükséghelyzet következménye, hogy a bíróság a fél által hivatkozott – de szükséghelyzet miatt nem bizonyított – tényt valósnak fogadja el, ha nem merül fel kételye. </w:t>
      </w:r>
    </w:p>
    <w:p w:rsidR="00DD264D" w:rsidRDefault="00DD264D" w:rsidP="00A45A0C"/>
    <w:p w:rsidR="00424061" w:rsidRDefault="00DD264D" w:rsidP="00A45A0C">
      <w:r>
        <w:t>Ellenőrző kérdések:</w:t>
      </w:r>
    </w:p>
    <w:p w:rsidR="00DD264D" w:rsidRDefault="00DD264D" w:rsidP="00A45A0C"/>
    <w:p w:rsidR="00DD264D" w:rsidRDefault="00DD264D" w:rsidP="00DD264D">
      <w:pPr>
        <w:pStyle w:val="Listaszerbekezds"/>
        <w:numPr>
          <w:ilvl w:val="0"/>
          <w:numId w:val="20"/>
        </w:numPr>
      </w:pPr>
      <w:r>
        <w:t>Milyen csak a bizonyítási eljárásra vonatkozó elveket ismer?</w:t>
      </w:r>
    </w:p>
    <w:p w:rsidR="00DD264D" w:rsidRDefault="00DD264D" w:rsidP="00DD264D">
      <w:pPr>
        <w:pStyle w:val="Listaszerbekezds"/>
        <w:numPr>
          <w:ilvl w:val="0"/>
          <w:numId w:val="20"/>
        </w:numPr>
      </w:pPr>
      <w:r>
        <w:t>Milyen esetekben nem érvényesül a tényállás szabad megállapításának elve?</w:t>
      </w:r>
    </w:p>
    <w:p w:rsidR="00DD264D" w:rsidRDefault="00DD264D" w:rsidP="00DD264D">
      <w:pPr>
        <w:pStyle w:val="Listaszerbekezds"/>
        <w:numPr>
          <w:ilvl w:val="0"/>
          <w:numId w:val="20"/>
        </w:numPr>
      </w:pPr>
      <w:r>
        <w:t>Melyek a bizonyítási eljárás szakaszai?</w:t>
      </w:r>
    </w:p>
    <w:p w:rsidR="00DD264D" w:rsidRDefault="00DD264D" w:rsidP="00DD264D">
      <w:pPr>
        <w:pStyle w:val="Listaszerbekezds"/>
        <w:numPr>
          <w:ilvl w:val="0"/>
          <w:numId w:val="20"/>
        </w:numPr>
      </w:pPr>
      <w:r>
        <w:t>Mi lehet a bizonyítás tárgya?</w:t>
      </w:r>
    </w:p>
    <w:p w:rsidR="00DD264D" w:rsidRDefault="00DD264D" w:rsidP="00DD264D">
      <w:pPr>
        <w:pStyle w:val="Listaszerbekezds"/>
        <w:numPr>
          <w:ilvl w:val="0"/>
          <w:numId w:val="20"/>
        </w:numPr>
      </w:pPr>
      <w:r>
        <w:t>Mi a különbség a bizonyítási érdek és a bizonyítási teher között?</w:t>
      </w:r>
    </w:p>
    <w:p w:rsidR="00DD264D" w:rsidRDefault="00DD264D" w:rsidP="00DD264D"/>
    <w:p w:rsidR="00424061" w:rsidRDefault="00DD264D" w:rsidP="00DD264D">
      <w:r>
        <w:t xml:space="preserve">A lecke elsajátításához szükséges idő 30 perc. </w:t>
      </w:r>
    </w:p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424061" w:rsidRDefault="00424061" w:rsidP="00A45A0C"/>
    <w:p w:rsidR="00A45A0C" w:rsidRPr="00D6340F" w:rsidRDefault="00D6340F" w:rsidP="00A45A0C">
      <w:r w:rsidRPr="00D63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-57314</wp:posOffset>
                </wp:positionH>
                <wp:positionV relativeFrom="paragraph">
                  <wp:posOffset>253215</wp:posOffset>
                </wp:positionV>
                <wp:extent cx="6071991" cy="1212351"/>
                <wp:effectExtent l="0" t="0" r="11430" b="698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91" cy="121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40F" w:rsidRPr="00D6340F" w:rsidRDefault="00D6340F" w:rsidP="00D6340F">
                            <w:pPr>
                              <w:jc w:val="both"/>
                            </w:pPr>
                            <w:r w:rsidRPr="00D6340F">
      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      </w:r>
                          </w:p>
                          <w:p w:rsidR="00D6340F" w:rsidRDefault="00D6340F" w:rsidP="00D634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-4.5pt;margin-top:19.95pt;width:478.1pt;height:9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" fillcolor="white [3201]" strokeweight=".5pt">
                <v:textbox>
                  <w:txbxContent>
                    <w:p w:rsidR="00D6340F" w:rsidRPr="00D6340F" w:rsidRDefault="00D6340F" w:rsidP="00D6340F">
                      <w:pPr>
                        <w:jc w:val="both"/>
                      </w:pPr>
                      <w:r w:rsidRPr="00D6340F">
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</w:r>
                    </w:p>
                    <w:p w:rsidR="00D6340F" w:rsidRDefault="00D6340F" w:rsidP="00D634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5A0C" w:rsidRPr="00D6340F" w:rsidSect="00194FBE">
      <w:headerReference w:type="default" r:id="rId8"/>
      <w:footerReference w:type="default" r:id="rId9"/>
      <w:pgSz w:w="11906" w:h="16838"/>
      <w:pgMar w:top="198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1C" w:rsidRDefault="003F7E1C">
      <w:r>
        <w:separator/>
      </w:r>
    </w:p>
  </w:endnote>
  <w:endnote w:type="continuationSeparator" w:id="0">
    <w:p w:rsidR="003F7E1C" w:rsidRDefault="003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77124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0" t="0" r="0" b="1905"/>
          <wp:wrapTight wrapText="bothSides">
            <wp:wrapPolygon edited="0">
              <wp:start x="0" y="0"/>
              <wp:lineTo x="0" y="21516"/>
              <wp:lineTo x="21532" y="21516"/>
              <wp:lineTo x="21532" y="0"/>
              <wp:lineTo x="0" y="0"/>
            </wp:wrapPolygon>
          </wp:wrapTight>
          <wp:docPr id="9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63" w:rsidRDefault="00AF2563" w:rsidP="002B164D">
    <w:pPr>
      <w:pStyle w:val="llb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C971B2" w:rsidRPr="00B5718A" w:rsidRDefault="00277124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7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1C" w:rsidRDefault="003F7E1C">
      <w:r>
        <w:separator/>
      </w:r>
    </w:p>
  </w:footnote>
  <w:footnote w:type="continuationSeparator" w:id="0">
    <w:p w:rsidR="003F7E1C" w:rsidRDefault="003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2E" w:rsidRDefault="00277124" w:rsidP="00A4148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0" t="0" r="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483" w:rsidRDefault="00277124" w:rsidP="00A41483">
                          <w:r w:rsidRPr="00147B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0300" cy="927100"/>
                                <wp:effectExtent l="0" t="0" r="0" b="0"/>
                                <wp:docPr id="11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96.55pt;margin-top:-9.3pt;width:206.15pt;height: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" stroked="f">
              <v:path arrowok="t"/>
              <v:textbox>
                <w:txbxContent>
                  <w:p w:rsidR="00A41483" w:rsidRDefault="00277124" w:rsidP="00A41483">
                    <w:r w:rsidRPr="00147BDF">
                      <w:rPr>
                        <w:noProof/>
                      </w:rPr>
                      <w:drawing>
                        <wp:inline distT="0" distB="0" distL="0" distR="0">
                          <wp:extent cx="2400300" cy="927100"/>
                          <wp:effectExtent l="0" t="0" r="0" b="0"/>
                          <wp:docPr id="11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4FBE" w:rsidRDefault="00194FBE" w:rsidP="002B164D"/>
  <w:p w:rsidR="00194FBE" w:rsidRDefault="00194FBE" w:rsidP="002B164D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 xml:space="preserve">Projekt azonosító: </w:t>
    </w:r>
    <w:r w:rsidR="00D675C2" w:rsidRPr="00194FBE">
      <w:rPr>
        <w:rFonts w:ascii="Arial" w:hAnsi="Arial" w:cs="Arial"/>
        <w:iCs/>
        <w:sz w:val="20"/>
        <w:szCs w:val="20"/>
      </w:rPr>
      <w:t>EFOP-3.6.</w:t>
    </w:r>
    <w:r w:rsidR="002B164D" w:rsidRPr="00194FBE">
      <w:rPr>
        <w:rFonts w:ascii="Arial" w:hAnsi="Arial" w:cs="Arial"/>
        <w:iCs/>
        <w:sz w:val="20"/>
        <w:szCs w:val="20"/>
      </w:rPr>
      <w:t>2</w:t>
    </w:r>
    <w:r w:rsidR="00D675C2" w:rsidRPr="00194FBE">
      <w:rPr>
        <w:rFonts w:ascii="Arial" w:hAnsi="Arial" w:cs="Arial"/>
        <w:iCs/>
        <w:sz w:val="20"/>
        <w:szCs w:val="20"/>
      </w:rPr>
      <w:t>-16-201</w:t>
    </w:r>
    <w:r w:rsidR="002B164D" w:rsidRPr="00194FBE">
      <w:rPr>
        <w:rFonts w:ascii="Arial" w:hAnsi="Arial" w:cs="Arial"/>
        <w:iCs/>
        <w:sz w:val="20"/>
        <w:szCs w:val="20"/>
      </w:rPr>
      <w:t>7</w:t>
    </w:r>
    <w:r w:rsidR="00D675C2" w:rsidRPr="00194FBE">
      <w:rPr>
        <w:rFonts w:ascii="Arial" w:hAnsi="Arial" w:cs="Arial"/>
        <w:iCs/>
        <w:sz w:val="20"/>
        <w:szCs w:val="20"/>
      </w:rPr>
      <w:t>-0000</w:t>
    </w:r>
    <w:r w:rsidR="002B164D" w:rsidRPr="00194FBE">
      <w:rPr>
        <w:rFonts w:ascii="Arial" w:hAnsi="Arial" w:cs="Arial"/>
        <w:iCs/>
        <w:sz w:val="20"/>
        <w:szCs w:val="20"/>
      </w:rPr>
      <w:t>7</w:t>
    </w:r>
  </w:p>
  <w:p w:rsidR="00194FBE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b/>
        <w:iCs/>
        <w:sz w:val="20"/>
        <w:szCs w:val="20"/>
      </w:rPr>
      <w:t>Projekt címe</w:t>
    </w:r>
    <w:r>
      <w:rPr>
        <w:rFonts w:ascii="Arial" w:hAnsi="Arial" w:cs="Arial"/>
        <w:iCs/>
        <w:sz w:val="20"/>
        <w:szCs w:val="20"/>
      </w:rPr>
      <w:t>: „</w:t>
    </w:r>
    <w:r w:rsidRPr="00194FBE">
      <w:rPr>
        <w:rFonts w:ascii="Arial" w:hAnsi="Arial" w:cs="Arial"/>
        <w:iCs/>
        <w:sz w:val="20"/>
        <w:szCs w:val="20"/>
      </w:rPr>
      <w:t xml:space="preserve">Az intelligens, fenntartható és </w:t>
    </w:r>
    <w:r>
      <w:rPr>
        <w:rFonts w:ascii="Arial" w:hAnsi="Arial" w:cs="Arial"/>
        <w:iCs/>
        <w:sz w:val="20"/>
        <w:szCs w:val="20"/>
      </w:rPr>
      <w:t>inkluzív társadalom</w:t>
    </w:r>
  </w:p>
  <w:p w:rsidR="00A41483" w:rsidRPr="002B164D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iCs/>
        <w:sz w:val="20"/>
        <w:szCs w:val="20"/>
      </w:rPr>
      <w:t>fejlesztésének aspektusai”</w:t>
    </w:r>
  </w:p>
  <w:p w:rsidR="00F75D65" w:rsidRPr="00A41483" w:rsidRDefault="00277124" w:rsidP="00A41483">
    <w:pPr>
      <w:pStyle w:val="lfej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154940</wp:posOffset>
              </wp:positionV>
              <wp:extent cx="6549390" cy="0"/>
              <wp:effectExtent l="0" t="0" r="381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FD1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25pt;margin-top:12.2pt;width:51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" strokecolor="#1f497d" strokeweight="1.25pt">
              <v:shadow color="#4e6128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8B"/>
    <w:multiLevelType w:val="hybridMultilevel"/>
    <w:tmpl w:val="FD1EFB48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F69"/>
    <w:multiLevelType w:val="hybridMultilevel"/>
    <w:tmpl w:val="E0022B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F6216"/>
    <w:multiLevelType w:val="multilevel"/>
    <w:tmpl w:val="873EBE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C00BA"/>
    <w:multiLevelType w:val="hybridMultilevel"/>
    <w:tmpl w:val="0F9AFFDE"/>
    <w:lvl w:ilvl="0" w:tplc="0228F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C7E"/>
    <w:multiLevelType w:val="hybridMultilevel"/>
    <w:tmpl w:val="616E267C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31C9"/>
    <w:multiLevelType w:val="hybridMultilevel"/>
    <w:tmpl w:val="72A6A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49AC"/>
    <w:multiLevelType w:val="hybridMultilevel"/>
    <w:tmpl w:val="FD5A13C0"/>
    <w:lvl w:ilvl="0" w:tplc="ED76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4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4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0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26A3A"/>
    <w:multiLevelType w:val="hybridMultilevel"/>
    <w:tmpl w:val="7DEC32B4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BF8"/>
    <w:multiLevelType w:val="hybridMultilevel"/>
    <w:tmpl w:val="E9C6EB0E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51923"/>
    <w:multiLevelType w:val="hybridMultilevel"/>
    <w:tmpl w:val="1DA0F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C74CF9"/>
    <w:multiLevelType w:val="hybridMultilevel"/>
    <w:tmpl w:val="4EC42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32C5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6E1B"/>
    <w:multiLevelType w:val="hybridMultilevel"/>
    <w:tmpl w:val="F6D2700E"/>
    <w:lvl w:ilvl="0" w:tplc="0228F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13B1"/>
    <w:multiLevelType w:val="hybridMultilevel"/>
    <w:tmpl w:val="4DFAE6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811CD9"/>
    <w:multiLevelType w:val="hybridMultilevel"/>
    <w:tmpl w:val="CF24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366C"/>
    <w:multiLevelType w:val="hybridMultilevel"/>
    <w:tmpl w:val="FC948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A21"/>
    <w:multiLevelType w:val="hybridMultilevel"/>
    <w:tmpl w:val="2DE4F7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6015D0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33D8"/>
    <w:multiLevelType w:val="hybridMultilevel"/>
    <w:tmpl w:val="39AC0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16FB8"/>
    <w:multiLevelType w:val="hybridMultilevel"/>
    <w:tmpl w:val="91563940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8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3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138B7"/>
    <w:rsid w:val="00017F78"/>
    <w:rsid w:val="000471E1"/>
    <w:rsid w:val="0005032C"/>
    <w:rsid w:val="000512BF"/>
    <w:rsid w:val="000565BF"/>
    <w:rsid w:val="000665EE"/>
    <w:rsid w:val="00073906"/>
    <w:rsid w:val="00080CDB"/>
    <w:rsid w:val="00081A35"/>
    <w:rsid w:val="00085D5B"/>
    <w:rsid w:val="000935A7"/>
    <w:rsid w:val="000A0ED3"/>
    <w:rsid w:val="000A3024"/>
    <w:rsid w:val="000A5E74"/>
    <w:rsid w:val="000B0146"/>
    <w:rsid w:val="000B3C6A"/>
    <w:rsid w:val="000C347D"/>
    <w:rsid w:val="000C3C18"/>
    <w:rsid w:val="000C3EA4"/>
    <w:rsid w:val="000D1FFE"/>
    <w:rsid w:val="000E441B"/>
    <w:rsid w:val="000E48D1"/>
    <w:rsid w:val="000E6861"/>
    <w:rsid w:val="000F30B6"/>
    <w:rsid w:val="000F5533"/>
    <w:rsid w:val="001016F7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94FBE"/>
    <w:rsid w:val="001A0F12"/>
    <w:rsid w:val="001B160D"/>
    <w:rsid w:val="001C511D"/>
    <w:rsid w:val="001E471C"/>
    <w:rsid w:val="001F24C3"/>
    <w:rsid w:val="001F2AE8"/>
    <w:rsid w:val="001F4574"/>
    <w:rsid w:val="001F4A2C"/>
    <w:rsid w:val="001F5DE4"/>
    <w:rsid w:val="001F6EB0"/>
    <w:rsid w:val="002000B0"/>
    <w:rsid w:val="00203AA2"/>
    <w:rsid w:val="002050B9"/>
    <w:rsid w:val="00210FD1"/>
    <w:rsid w:val="0021261D"/>
    <w:rsid w:val="00215EB4"/>
    <w:rsid w:val="002168AC"/>
    <w:rsid w:val="002268E1"/>
    <w:rsid w:val="00244375"/>
    <w:rsid w:val="002469C1"/>
    <w:rsid w:val="002472F9"/>
    <w:rsid w:val="00247A77"/>
    <w:rsid w:val="00261AE9"/>
    <w:rsid w:val="00266BFD"/>
    <w:rsid w:val="00267C65"/>
    <w:rsid w:val="00277124"/>
    <w:rsid w:val="00280FA1"/>
    <w:rsid w:val="00283EFF"/>
    <w:rsid w:val="0028465C"/>
    <w:rsid w:val="00291E4A"/>
    <w:rsid w:val="00294C89"/>
    <w:rsid w:val="002A1333"/>
    <w:rsid w:val="002B164D"/>
    <w:rsid w:val="002B3106"/>
    <w:rsid w:val="002D3BE0"/>
    <w:rsid w:val="002E4D71"/>
    <w:rsid w:val="002E506C"/>
    <w:rsid w:val="002F4C74"/>
    <w:rsid w:val="002F69C9"/>
    <w:rsid w:val="003018AA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3F7E1C"/>
    <w:rsid w:val="00400E01"/>
    <w:rsid w:val="00402A21"/>
    <w:rsid w:val="00411D45"/>
    <w:rsid w:val="00414D95"/>
    <w:rsid w:val="00414DDA"/>
    <w:rsid w:val="00420866"/>
    <w:rsid w:val="00424061"/>
    <w:rsid w:val="004264C7"/>
    <w:rsid w:val="00426509"/>
    <w:rsid w:val="00427467"/>
    <w:rsid w:val="00435A40"/>
    <w:rsid w:val="00447DBE"/>
    <w:rsid w:val="00452DA2"/>
    <w:rsid w:val="0045647A"/>
    <w:rsid w:val="004651F0"/>
    <w:rsid w:val="00471479"/>
    <w:rsid w:val="0047443B"/>
    <w:rsid w:val="0049345C"/>
    <w:rsid w:val="00497F54"/>
    <w:rsid w:val="004A0B6E"/>
    <w:rsid w:val="004A0CCB"/>
    <w:rsid w:val="004A18F8"/>
    <w:rsid w:val="004A3A46"/>
    <w:rsid w:val="004A522F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2317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51F8"/>
    <w:rsid w:val="006979BB"/>
    <w:rsid w:val="006A2B0F"/>
    <w:rsid w:val="006A4D67"/>
    <w:rsid w:val="006B018F"/>
    <w:rsid w:val="006C2540"/>
    <w:rsid w:val="006C4858"/>
    <w:rsid w:val="006D39E2"/>
    <w:rsid w:val="006D7CB6"/>
    <w:rsid w:val="006F324F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980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B735F"/>
    <w:rsid w:val="007C17E9"/>
    <w:rsid w:val="007C2428"/>
    <w:rsid w:val="007C2964"/>
    <w:rsid w:val="007D1FEF"/>
    <w:rsid w:val="007D2515"/>
    <w:rsid w:val="007E27A7"/>
    <w:rsid w:val="007E2F0E"/>
    <w:rsid w:val="007F59CE"/>
    <w:rsid w:val="00805438"/>
    <w:rsid w:val="008058B2"/>
    <w:rsid w:val="008070F2"/>
    <w:rsid w:val="0080798C"/>
    <w:rsid w:val="00810352"/>
    <w:rsid w:val="00813B1F"/>
    <w:rsid w:val="00814694"/>
    <w:rsid w:val="008229DE"/>
    <w:rsid w:val="0082487E"/>
    <w:rsid w:val="0083687D"/>
    <w:rsid w:val="0084588F"/>
    <w:rsid w:val="00853B44"/>
    <w:rsid w:val="008668A2"/>
    <w:rsid w:val="008725FD"/>
    <w:rsid w:val="00876353"/>
    <w:rsid w:val="0087676A"/>
    <w:rsid w:val="0089231C"/>
    <w:rsid w:val="00892467"/>
    <w:rsid w:val="00894610"/>
    <w:rsid w:val="008A6D5B"/>
    <w:rsid w:val="008B47FC"/>
    <w:rsid w:val="008C1572"/>
    <w:rsid w:val="008C26D3"/>
    <w:rsid w:val="008D1311"/>
    <w:rsid w:val="008D5FFA"/>
    <w:rsid w:val="008F4EB4"/>
    <w:rsid w:val="0092367D"/>
    <w:rsid w:val="009255B4"/>
    <w:rsid w:val="0093560D"/>
    <w:rsid w:val="00954B34"/>
    <w:rsid w:val="00957F5B"/>
    <w:rsid w:val="0096280F"/>
    <w:rsid w:val="00987133"/>
    <w:rsid w:val="00987284"/>
    <w:rsid w:val="009908B4"/>
    <w:rsid w:val="009B02F9"/>
    <w:rsid w:val="009B45B6"/>
    <w:rsid w:val="009C4E2A"/>
    <w:rsid w:val="009D5273"/>
    <w:rsid w:val="009D68F1"/>
    <w:rsid w:val="009D7196"/>
    <w:rsid w:val="009D7D63"/>
    <w:rsid w:val="009E56C5"/>
    <w:rsid w:val="009E6AF8"/>
    <w:rsid w:val="009F2F9F"/>
    <w:rsid w:val="00A1131E"/>
    <w:rsid w:val="00A14281"/>
    <w:rsid w:val="00A15DA6"/>
    <w:rsid w:val="00A318B1"/>
    <w:rsid w:val="00A41483"/>
    <w:rsid w:val="00A45A0C"/>
    <w:rsid w:val="00A50737"/>
    <w:rsid w:val="00A51BCB"/>
    <w:rsid w:val="00A57831"/>
    <w:rsid w:val="00A6055E"/>
    <w:rsid w:val="00A75289"/>
    <w:rsid w:val="00A83682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24E3"/>
    <w:rsid w:val="00AC6727"/>
    <w:rsid w:val="00AD3D3D"/>
    <w:rsid w:val="00AD6D2F"/>
    <w:rsid w:val="00AE3AFA"/>
    <w:rsid w:val="00AE7A28"/>
    <w:rsid w:val="00AF1FE2"/>
    <w:rsid w:val="00AF2563"/>
    <w:rsid w:val="00AF2A6D"/>
    <w:rsid w:val="00B100B9"/>
    <w:rsid w:val="00B137AC"/>
    <w:rsid w:val="00B15A5A"/>
    <w:rsid w:val="00B170A5"/>
    <w:rsid w:val="00B26369"/>
    <w:rsid w:val="00B317E2"/>
    <w:rsid w:val="00B31879"/>
    <w:rsid w:val="00B377E1"/>
    <w:rsid w:val="00B45802"/>
    <w:rsid w:val="00B4609A"/>
    <w:rsid w:val="00B5069E"/>
    <w:rsid w:val="00B55D57"/>
    <w:rsid w:val="00B5718A"/>
    <w:rsid w:val="00B96254"/>
    <w:rsid w:val="00BB3BC5"/>
    <w:rsid w:val="00BC4DEF"/>
    <w:rsid w:val="00BD4B19"/>
    <w:rsid w:val="00BE4083"/>
    <w:rsid w:val="00BF5B69"/>
    <w:rsid w:val="00C02803"/>
    <w:rsid w:val="00C0762E"/>
    <w:rsid w:val="00C12ABE"/>
    <w:rsid w:val="00C17864"/>
    <w:rsid w:val="00C3271D"/>
    <w:rsid w:val="00C37857"/>
    <w:rsid w:val="00C45038"/>
    <w:rsid w:val="00C6784F"/>
    <w:rsid w:val="00C8707A"/>
    <w:rsid w:val="00C87202"/>
    <w:rsid w:val="00C93442"/>
    <w:rsid w:val="00C963D0"/>
    <w:rsid w:val="00C971B2"/>
    <w:rsid w:val="00CA7863"/>
    <w:rsid w:val="00CC2CAB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5F7"/>
    <w:rsid w:val="00D10759"/>
    <w:rsid w:val="00D167C2"/>
    <w:rsid w:val="00D202EE"/>
    <w:rsid w:val="00D202F7"/>
    <w:rsid w:val="00D215FF"/>
    <w:rsid w:val="00D23C88"/>
    <w:rsid w:val="00D27107"/>
    <w:rsid w:val="00D3179B"/>
    <w:rsid w:val="00D36037"/>
    <w:rsid w:val="00D37E91"/>
    <w:rsid w:val="00D62265"/>
    <w:rsid w:val="00D627D0"/>
    <w:rsid w:val="00D6340F"/>
    <w:rsid w:val="00D63AD0"/>
    <w:rsid w:val="00D675C2"/>
    <w:rsid w:val="00D71AEF"/>
    <w:rsid w:val="00D77F56"/>
    <w:rsid w:val="00D83B9B"/>
    <w:rsid w:val="00D871C8"/>
    <w:rsid w:val="00D94733"/>
    <w:rsid w:val="00DA02FD"/>
    <w:rsid w:val="00DA392B"/>
    <w:rsid w:val="00DA3EE3"/>
    <w:rsid w:val="00DB1122"/>
    <w:rsid w:val="00DC0B24"/>
    <w:rsid w:val="00DC23D8"/>
    <w:rsid w:val="00DC3FB0"/>
    <w:rsid w:val="00DD1262"/>
    <w:rsid w:val="00DD264D"/>
    <w:rsid w:val="00DD28E0"/>
    <w:rsid w:val="00DD7FDA"/>
    <w:rsid w:val="00E00738"/>
    <w:rsid w:val="00E0784C"/>
    <w:rsid w:val="00E11CB2"/>
    <w:rsid w:val="00E1465D"/>
    <w:rsid w:val="00E22D22"/>
    <w:rsid w:val="00E241E0"/>
    <w:rsid w:val="00E2568E"/>
    <w:rsid w:val="00E3708C"/>
    <w:rsid w:val="00E5022C"/>
    <w:rsid w:val="00E52598"/>
    <w:rsid w:val="00E5388E"/>
    <w:rsid w:val="00E60EC5"/>
    <w:rsid w:val="00E62682"/>
    <w:rsid w:val="00E63FBC"/>
    <w:rsid w:val="00E64B56"/>
    <w:rsid w:val="00E81407"/>
    <w:rsid w:val="00E938F8"/>
    <w:rsid w:val="00E94514"/>
    <w:rsid w:val="00EA1277"/>
    <w:rsid w:val="00EA51A5"/>
    <w:rsid w:val="00EC2253"/>
    <w:rsid w:val="00ED1DB9"/>
    <w:rsid w:val="00ED5186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57F19"/>
    <w:rsid w:val="00F6226F"/>
    <w:rsid w:val="00F62E6B"/>
    <w:rsid w:val="00F65173"/>
    <w:rsid w:val="00F746FE"/>
    <w:rsid w:val="00F75D65"/>
    <w:rsid w:val="00F8117E"/>
    <w:rsid w:val="00F8677B"/>
    <w:rsid w:val="00FB28D1"/>
    <w:rsid w:val="00FB4997"/>
    <w:rsid w:val="00FB4E18"/>
    <w:rsid w:val="00FC2E37"/>
    <w:rsid w:val="00FC45EA"/>
    <w:rsid w:val="00FC552C"/>
    <w:rsid w:val="00FD71C0"/>
    <w:rsid w:val="00FE43B9"/>
    <w:rsid w:val="00FE5B62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F46DB"/>
  <w15:chartTrackingRefBased/>
  <w15:docId w15:val="{06FE59DF-87F6-7C49-B150-5442CF7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uiPriority w:val="99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AF1F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F1FE2"/>
    <w:rPr>
      <w:sz w:val="16"/>
      <w:szCs w:val="16"/>
    </w:rPr>
  </w:style>
  <w:style w:type="paragraph" w:customStyle="1" w:styleId="pfolyoirat">
    <w:name w:val="pfolyoirat"/>
    <w:basedOn w:val="Norml"/>
    <w:uiPriority w:val="99"/>
    <w:rsid w:val="00AF1FE2"/>
    <w:rPr>
      <w:sz w:val="18"/>
      <w:szCs w:val="18"/>
    </w:rPr>
  </w:style>
  <w:style w:type="character" w:customStyle="1" w:styleId="personname">
    <w:name w:val="person_name"/>
    <w:rsid w:val="007B735F"/>
  </w:style>
  <w:style w:type="character" w:styleId="Kiemels">
    <w:name w:val="Emphasis"/>
    <w:uiPriority w:val="20"/>
    <w:qFormat/>
    <w:rsid w:val="007B735F"/>
    <w:rPr>
      <w:i/>
      <w:iCs/>
    </w:rPr>
  </w:style>
  <w:style w:type="character" w:customStyle="1" w:styleId="Cmsor2Char">
    <w:name w:val="Címsor 2 Char"/>
    <w:link w:val="Cmsor2"/>
    <w:semiHidden/>
    <w:rsid w:val="00C07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AHUNormal">
    <w:name w:val="MAHU_Normal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sz w:val="24"/>
      <w:szCs w:val="24"/>
      <w:lang w:val="en-US" w:eastAsia="en-US"/>
    </w:rPr>
  </w:style>
  <w:style w:type="paragraph" w:customStyle="1" w:styleId="MAHUInfo">
    <w:name w:val="MAHU_Info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color w:val="0000FF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63FBC"/>
    <w:pPr>
      <w:spacing w:before="100" w:beforeAutospacing="1" w:after="100" w:afterAutospacing="1"/>
    </w:pPr>
  </w:style>
  <w:style w:type="character" w:customStyle="1" w:styleId="s9">
    <w:name w:val="s9"/>
    <w:basedOn w:val="Bekezdsalapbettpusa"/>
    <w:rsid w:val="00765980"/>
  </w:style>
  <w:style w:type="character" w:customStyle="1" w:styleId="apple-converted-space">
    <w:name w:val="apple-converted-space"/>
    <w:basedOn w:val="Bekezdsalapbettpusa"/>
    <w:rsid w:val="00765980"/>
  </w:style>
  <w:style w:type="character" w:customStyle="1" w:styleId="s10">
    <w:name w:val="s10"/>
    <w:basedOn w:val="Bekezdsalapbettpusa"/>
    <w:rsid w:val="007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73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1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96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0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2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0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3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03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4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1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2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9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3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8F10-DB61-42A7-8B7E-627E826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átadás átvételi</vt:lpstr>
    </vt:vector>
  </TitlesOfParts>
  <Manager/>
  <Company/>
  <LinksUpToDate>false</LinksUpToDate>
  <CharactersWithSpaces>4026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Lichtenstein</dc:creator>
  <cp:keywords/>
  <dc:description/>
  <cp:lastModifiedBy>Varga Imre</cp:lastModifiedBy>
  <cp:revision>2</cp:revision>
  <cp:lastPrinted>2020-11-02T02:11:00Z</cp:lastPrinted>
  <dcterms:created xsi:type="dcterms:W3CDTF">2021-01-14T21:12:00Z</dcterms:created>
  <dcterms:modified xsi:type="dcterms:W3CDTF">2021-01-14T21:12:00Z</dcterms:modified>
  <cp:category/>
</cp:coreProperties>
</file>