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62EF" w14:textId="462A8AB8" w:rsidR="00DC5E0C" w:rsidRDefault="00DC5E0C" w:rsidP="00B22713">
      <w:pPr>
        <w:jc w:val="center"/>
        <w:rPr>
          <w:rFonts w:ascii="Times New Roman" w:hAnsi="Times New Roman" w:cs="Times New Roman"/>
          <w:b/>
          <w:sz w:val="28"/>
        </w:rPr>
      </w:pPr>
      <w:r>
        <w:rPr>
          <w:rFonts w:ascii="Times New Roman" w:hAnsi="Times New Roman" w:cs="Times New Roman"/>
          <w:b/>
          <w:noProof/>
          <w:sz w:val="28"/>
          <w:lang w:eastAsia="hu-HU"/>
        </w:rPr>
        <mc:AlternateContent>
          <mc:Choice Requires="wps">
            <w:drawing>
              <wp:anchor distT="0" distB="0" distL="114300" distR="114300" simplePos="0" relativeHeight="251659264" behindDoc="0" locked="0" layoutInCell="1" allowOverlap="1" wp14:anchorId="5AE1FF00" wp14:editId="36CD48B7">
                <wp:simplePos x="0" y="0"/>
                <wp:positionH relativeFrom="column">
                  <wp:posOffset>5212093</wp:posOffset>
                </wp:positionH>
                <wp:positionV relativeFrom="paragraph">
                  <wp:posOffset>327</wp:posOffset>
                </wp:positionV>
                <wp:extent cx="796290" cy="361315"/>
                <wp:effectExtent l="0" t="0" r="16510" b="19685"/>
                <wp:wrapSquare wrapText="bothSides"/>
                <wp:docPr id="6" name="Szövegdoboz 6"/>
                <wp:cNvGraphicFramePr/>
                <a:graphic xmlns:a="http://schemas.openxmlformats.org/drawingml/2006/main">
                  <a:graphicData uri="http://schemas.microsoft.com/office/word/2010/wordprocessingShape">
                    <wps:wsp>
                      <wps:cNvSpPr txBox="1"/>
                      <wps:spPr>
                        <a:xfrm>
                          <a:off x="0" y="0"/>
                          <a:ext cx="796290" cy="361315"/>
                        </a:xfrm>
                        <a:prstGeom prst="rect">
                          <a:avLst/>
                        </a:prstGeom>
                        <a:ln/>
                      </wps:spPr>
                      <wps:style>
                        <a:lnRef idx="2">
                          <a:schemeClr val="dk1"/>
                        </a:lnRef>
                        <a:fillRef idx="1">
                          <a:schemeClr val="lt1"/>
                        </a:fillRef>
                        <a:effectRef idx="0">
                          <a:schemeClr val="dk1"/>
                        </a:effectRef>
                        <a:fontRef idx="minor">
                          <a:schemeClr val="dk1"/>
                        </a:fontRef>
                      </wps:style>
                      <wps:txbx>
                        <w:txbxContent>
                          <w:p w14:paraId="4F8C6B9B" w14:textId="3CD7B55F" w:rsidR="00DC5E0C" w:rsidRDefault="00DC5E0C" w:rsidP="00DC5E0C">
                            <w:r>
                              <w:t>25 perc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1FF00" id="_x0000_t202" coordsize="21600,21600" o:spt="202" path="m0,0l0,21600,21600,21600,21600,0xe">
                <v:stroke joinstyle="miter"/>
                <v:path gradientshapeok="t" o:connecttype="rect"/>
              </v:shapetype>
              <v:shape id="Szövegdoboz 6" o:spid="_x0000_s1026" type="#_x0000_t202" style="position:absolute;left:0;text-align:left;margin-left:410.4pt;margin-top:.05pt;width:62.7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0Z3YCAAAmBQAADgAAAGRycy9lMm9Eb2MueG1srFTNbtswDL4P2DsIuq+O0zZdgzhF1qLDgKIt&#10;lg49K7KUGJNETVJipw+2F9iLjZJ/UnTBDsMuNkV+JEXyo2ZXjVZkJ5yvwBQ0PxlRIgyHsjLrgn57&#10;uv3wkRIfmCmZAiMKuheeXs3fv5vVdirGsAFVCkcwiPHT2hZ0E4KdZpnnG6GZPwErDBolOM0CHt06&#10;Kx2rMbpW2Xg0mmQ1uNI64MJ71N60RjpP8aUUPDxI6UUgqqB4t5C+Ln1X8ZvNZ2y6dsxuKt5dg/3D&#10;LTSrDCYdQt2wwMjWVX+E0hV34EGGEw46AykrLlINWE0+elPNcsOsSLVgc7wd2uT/X1h+v3t0pCoL&#10;OqHEMI0jWr78+rkT6xJW8EImsUO19VMELi1CQ/MJGpx0r/eojIU30un4x5II2rHX+6G/ogmEo/Li&#10;cjK+RAtH0+kkP83PY5Ts4GydD58FaBKFgjocX+oq29350EJ7SMylTNTF27W3SFLYK9EavwqJlWHe&#10;cQqSOCWulSM7hmwov6caMLsyiIwuslJqcMqPOanQO3XY6CYSzwbH0THHQ7YBnTKCCYOjrgy4vzvL&#10;Ft9X3dYayw7NqukmtYJyj4Ny0JLdW35bYTvvmA+PzCG7cQK4seEBP1JBXVDoJEo24F6O6SMeSYdW&#10;SmrcloL6H1vmBCXqi0E6XuZnZ3G90uHs/GKMB/fasnptMVt9DTiCHN8Gy5MY8UH1onSgn3GxFzEr&#10;mpjhmLugoRevQ7vD+DBwsVgkEC6UZeHOLC2PoWN7I1memmfmbMeogFS8h36v2PQNsVps9DSw2AaQ&#10;VWJdbHDb1a7xuIyJt93DEbf99TmhDs/b/DcAAAD//wMAUEsDBBQABgAIAAAAIQCltnDl3AAAAAcB&#10;AAAPAAAAZHJzL2Rvd25yZXYueG1sTI7BTsMwEETvSPyDtUjcqE0CpYRsKqBCQlUvFA4c3XibRLXX&#10;Uew24e9xT3AcvdHMK5eTs+JEQ+g8I9zOFAji2puOG4Svz7ebBYgQNRttPRPCDwVYVpcXpS6MH/mD&#10;TtvYiDTCodAIbYx9IWWoW3I6zHxPnNjeD07HFIdGmkGPadxZmSk1l053nB5a3dNrS/Vhe3QI65wO&#10;33kTNmHcv+TvRq02dr1CvL6anp9ARJriXxnO+kkdquS080c2QViERaaSejwDkfDj3TwDsUO4f1Ag&#10;q1L+969+AQAA//8DAFBLAQItABQABgAIAAAAIQDkmcPA+wAAAOEBAAATAAAAAAAAAAAAAAAAAAAA&#10;AABbQ29udGVudF9UeXBlc10ueG1sUEsBAi0AFAAGAAgAAAAhACOyauHXAAAAlAEAAAsAAAAAAAAA&#10;AAAAAAAALAEAAF9yZWxzLy5yZWxzUEsBAi0AFAAGAAgAAAAhAJP3tGd2AgAAJgUAAA4AAAAAAAAA&#10;AAAAAAAALAIAAGRycy9lMm9Eb2MueG1sUEsBAi0AFAAGAAgAAAAhAKW2cOXcAAAABwEAAA8AAAAA&#10;AAAAAAAAAAAAzgQAAGRycy9kb3ducmV2LnhtbFBLBQYAAAAABAAEAPMAAADXBQAAAAA=&#10;" fillcolor="white [3201]" strokecolor="black [3200]" strokeweight="1pt">
                <v:textbox>
                  <w:txbxContent>
                    <w:p w14:paraId="4F8C6B9B" w14:textId="3CD7B55F" w:rsidR="00DC5E0C" w:rsidRDefault="00DC5E0C" w:rsidP="00DC5E0C">
                      <w:r>
                        <w:t xml:space="preserve">25 </w:t>
                      </w:r>
                      <w:r>
                        <w:t>perc</w:t>
                      </w:r>
                    </w:p>
                  </w:txbxContent>
                </v:textbox>
                <w10:wrap type="square"/>
              </v:shape>
            </w:pict>
          </mc:Fallback>
        </mc:AlternateContent>
      </w:r>
      <w:r w:rsidR="0015313C">
        <w:rPr>
          <w:rFonts w:ascii="Times New Roman" w:hAnsi="Times New Roman" w:cs="Times New Roman"/>
          <w:b/>
          <w:sz w:val="28"/>
        </w:rPr>
        <w:t xml:space="preserve">4. </w:t>
      </w:r>
    </w:p>
    <w:p w14:paraId="159577EC" w14:textId="7FF1DEB3" w:rsidR="0015313C" w:rsidRDefault="00973BA3" w:rsidP="00B22713">
      <w:pPr>
        <w:jc w:val="center"/>
        <w:rPr>
          <w:rFonts w:ascii="Times New Roman" w:hAnsi="Times New Roman" w:cs="Times New Roman"/>
          <w:b/>
          <w:sz w:val="28"/>
        </w:rPr>
      </w:pPr>
      <w:r>
        <w:rPr>
          <w:rFonts w:ascii="Times New Roman" w:hAnsi="Times New Roman" w:cs="Times New Roman"/>
          <w:b/>
          <w:sz w:val="28"/>
        </w:rPr>
        <w:t>BEÁGYAZOTTSÁG</w:t>
      </w:r>
      <w:bookmarkStart w:id="0" w:name="_GoBack"/>
      <w:bookmarkEnd w:id="0"/>
      <w:r w:rsidR="0015313C">
        <w:rPr>
          <w:rFonts w:ascii="Times New Roman" w:hAnsi="Times New Roman" w:cs="Times New Roman"/>
          <w:b/>
          <w:sz w:val="28"/>
        </w:rPr>
        <w:t xml:space="preserve"> ÉS TÁRSADALMI TŐKE</w:t>
      </w:r>
    </w:p>
    <w:p w14:paraId="22266444" w14:textId="77777777" w:rsidR="0015313C" w:rsidRDefault="0015313C" w:rsidP="00B22713">
      <w:pPr>
        <w:jc w:val="center"/>
        <w:rPr>
          <w:rFonts w:ascii="Times New Roman" w:hAnsi="Times New Roman" w:cs="Times New Roman"/>
          <w:b/>
          <w:sz w:val="28"/>
        </w:rPr>
      </w:pPr>
    </w:p>
    <w:p w14:paraId="1CBF082D" w14:textId="6073831F" w:rsidR="0015313C" w:rsidRDefault="0015313C" w:rsidP="0015313C">
      <w:pPr>
        <w:spacing w:line="360" w:lineRule="auto"/>
        <w:jc w:val="both"/>
        <w:rPr>
          <w:rFonts w:ascii="Times New Roman" w:hAnsi="Times New Roman" w:cs="Times New Roman"/>
        </w:rPr>
      </w:pPr>
      <w:r>
        <w:rPr>
          <w:rFonts w:ascii="Times New Roman" w:hAnsi="Times New Roman" w:cs="Times New Roman"/>
        </w:rPr>
        <w:t>Ebben a fejezetben a gazdaságszociológia egyik fontos kérdését járjuk körül, azaz, hogy a gazdasági mechanizmusok milyen kontextusban léteznek, milyen viszonyban állnak a társadalommal. Ehhez elsőként a gazdaság társadalmi beágyazottságához kapcsolódó vélekedéseket ismertetjük, majd kitérünk a társadalmi kapcsolatok, társadalmi tőke szerepére, a kapcsolódó elméletek kritikai rendszerezésére.</w:t>
      </w:r>
    </w:p>
    <w:p w14:paraId="67A979BE" w14:textId="77777777" w:rsidR="0015313C" w:rsidRPr="0015313C" w:rsidRDefault="0015313C" w:rsidP="0015313C">
      <w:pPr>
        <w:rPr>
          <w:rFonts w:ascii="Times New Roman" w:hAnsi="Times New Roman" w:cs="Times New Roman"/>
        </w:rPr>
      </w:pPr>
    </w:p>
    <w:p w14:paraId="357819E2" w14:textId="4A7A26CF" w:rsidR="00100892" w:rsidRDefault="00B22713" w:rsidP="0015313C">
      <w:pPr>
        <w:ind w:firstLine="708"/>
        <w:rPr>
          <w:rFonts w:ascii="Times New Roman" w:hAnsi="Times New Roman" w:cs="Times New Roman"/>
          <w:b/>
          <w:sz w:val="28"/>
        </w:rPr>
      </w:pPr>
      <w:r w:rsidRPr="00B22713">
        <w:rPr>
          <w:rFonts w:ascii="Times New Roman" w:hAnsi="Times New Roman" w:cs="Times New Roman"/>
          <w:b/>
          <w:sz w:val="28"/>
        </w:rPr>
        <w:t xml:space="preserve">4. </w:t>
      </w:r>
      <w:r w:rsidR="00A511C4" w:rsidRPr="00B22713">
        <w:rPr>
          <w:rFonts w:ascii="Times New Roman" w:hAnsi="Times New Roman" w:cs="Times New Roman"/>
          <w:b/>
          <w:sz w:val="28"/>
        </w:rPr>
        <w:t xml:space="preserve">1 </w:t>
      </w:r>
      <w:r w:rsidR="0015313C">
        <w:rPr>
          <w:rFonts w:ascii="Times New Roman" w:hAnsi="Times New Roman" w:cs="Times New Roman"/>
          <w:b/>
          <w:sz w:val="28"/>
        </w:rPr>
        <w:t>A gazdaság</w:t>
      </w:r>
      <w:r w:rsidR="00A511C4" w:rsidRPr="00B22713">
        <w:rPr>
          <w:rFonts w:ascii="Times New Roman" w:hAnsi="Times New Roman" w:cs="Times New Roman"/>
          <w:b/>
          <w:sz w:val="28"/>
        </w:rPr>
        <w:t xml:space="preserve"> </w:t>
      </w:r>
      <w:r w:rsidR="0015313C">
        <w:rPr>
          <w:rFonts w:ascii="Times New Roman" w:hAnsi="Times New Roman" w:cs="Times New Roman"/>
          <w:b/>
          <w:sz w:val="28"/>
        </w:rPr>
        <w:t xml:space="preserve">társadalmi </w:t>
      </w:r>
      <w:r w:rsidR="0015313C" w:rsidRPr="00B22713">
        <w:rPr>
          <w:rFonts w:ascii="Times New Roman" w:hAnsi="Times New Roman" w:cs="Times New Roman"/>
          <w:b/>
          <w:sz w:val="28"/>
        </w:rPr>
        <w:t>beágy</w:t>
      </w:r>
      <w:r w:rsidR="0015313C">
        <w:rPr>
          <w:rFonts w:ascii="Times New Roman" w:hAnsi="Times New Roman" w:cs="Times New Roman"/>
          <w:b/>
          <w:sz w:val="28"/>
        </w:rPr>
        <w:t>a</w:t>
      </w:r>
      <w:r w:rsidR="0015313C" w:rsidRPr="00B22713">
        <w:rPr>
          <w:rFonts w:ascii="Times New Roman" w:hAnsi="Times New Roman" w:cs="Times New Roman"/>
          <w:b/>
          <w:sz w:val="28"/>
        </w:rPr>
        <w:t>zottság</w:t>
      </w:r>
      <w:r w:rsidR="0015313C">
        <w:rPr>
          <w:rFonts w:ascii="Times New Roman" w:hAnsi="Times New Roman" w:cs="Times New Roman"/>
          <w:b/>
          <w:sz w:val="28"/>
        </w:rPr>
        <w:t>a</w:t>
      </w:r>
    </w:p>
    <w:p w14:paraId="5B85C931" w14:textId="77777777" w:rsidR="00B22713" w:rsidRDefault="00B22713" w:rsidP="00B22713">
      <w:pPr>
        <w:jc w:val="center"/>
        <w:rPr>
          <w:rFonts w:ascii="Times New Roman" w:hAnsi="Times New Roman" w:cs="Times New Roman"/>
          <w:b/>
          <w:sz w:val="28"/>
        </w:rPr>
      </w:pPr>
    </w:p>
    <w:p w14:paraId="368451B1" w14:textId="77777777" w:rsidR="00B22713" w:rsidRDefault="00B22713" w:rsidP="00B22713">
      <w:pPr>
        <w:jc w:val="center"/>
        <w:rPr>
          <w:rFonts w:ascii="Times New Roman" w:hAnsi="Times New Roman" w:cs="Times New Roman"/>
          <w:b/>
          <w:sz w:val="28"/>
        </w:rPr>
      </w:pPr>
    </w:p>
    <w:p w14:paraId="0D3EB491" w14:textId="0634B57D" w:rsidR="006611B3" w:rsidRDefault="006611B3" w:rsidP="006611B3">
      <w:pPr>
        <w:spacing w:line="360" w:lineRule="auto"/>
        <w:jc w:val="both"/>
        <w:rPr>
          <w:rFonts w:ascii="Times New Roman" w:eastAsia="Times New Roman" w:hAnsi="Times New Roman" w:cs="Times New Roman"/>
          <w:color w:val="222222"/>
          <w:shd w:val="clear" w:color="auto" w:fill="FFFFFF"/>
          <w:lang w:eastAsia="hu-HU"/>
        </w:rPr>
      </w:pPr>
      <w:r w:rsidRPr="006611B3">
        <w:rPr>
          <w:rFonts w:ascii="Times New Roman" w:eastAsia="Times New Roman" w:hAnsi="Times New Roman" w:cs="Times New Roman"/>
          <w:color w:val="222222"/>
          <w:shd w:val="clear" w:color="auto" w:fill="FFFFFF"/>
          <w:lang w:eastAsia="hu-HU"/>
        </w:rPr>
        <w:t>A „beágyazottság” kife</w:t>
      </w:r>
      <w:r>
        <w:rPr>
          <w:rFonts w:ascii="Times New Roman" w:eastAsia="Times New Roman" w:hAnsi="Times New Roman" w:cs="Times New Roman"/>
          <w:color w:val="222222"/>
          <w:shd w:val="clear" w:color="auto" w:fill="FFFFFF"/>
          <w:lang w:eastAsia="hu-HU"/>
        </w:rPr>
        <w:t xml:space="preserve">jezés Polányi Károlytól (1975) származik. Polányi úgy véli, hogy </w:t>
      </w:r>
      <w:r w:rsidR="00B07A30">
        <w:rPr>
          <w:rFonts w:ascii="Times New Roman" w:eastAsia="Times New Roman" w:hAnsi="Times New Roman" w:cs="Times New Roman"/>
          <w:color w:val="222222"/>
          <w:shd w:val="clear" w:color="auto" w:fill="FFFFFF"/>
          <w:lang w:eastAsia="hu-HU"/>
        </w:rPr>
        <w:t xml:space="preserve">a gazdaság </w:t>
      </w:r>
      <w:r w:rsidRPr="006611B3">
        <w:rPr>
          <w:rFonts w:ascii="Times New Roman" w:eastAsia="Times New Roman" w:hAnsi="Times New Roman" w:cs="Times New Roman"/>
          <w:color w:val="222222"/>
          <w:shd w:val="clear" w:color="auto" w:fill="FFFFFF"/>
          <w:lang w:eastAsia="hu-HU"/>
        </w:rPr>
        <w:t xml:space="preserve">mechanizmusai </w:t>
      </w:r>
      <w:r>
        <w:rPr>
          <w:rFonts w:ascii="Times New Roman" w:eastAsia="Times New Roman" w:hAnsi="Times New Roman" w:cs="Times New Roman"/>
          <w:color w:val="222222"/>
          <w:shd w:val="clear" w:color="auto" w:fill="FFFFFF"/>
          <w:lang w:eastAsia="hu-HU"/>
        </w:rPr>
        <w:t>társadalmi</w:t>
      </w:r>
      <w:r w:rsidR="00554F24">
        <w:rPr>
          <w:rFonts w:ascii="Times New Roman" w:eastAsia="Times New Roman" w:hAnsi="Times New Roman" w:cs="Times New Roman"/>
          <w:color w:val="222222"/>
          <w:shd w:val="clear" w:color="auto" w:fill="FFFFFF"/>
          <w:lang w:eastAsia="hu-HU"/>
        </w:rPr>
        <w:t>,</w:t>
      </w:r>
      <w:r>
        <w:rPr>
          <w:rFonts w:ascii="Times New Roman" w:eastAsia="Times New Roman" w:hAnsi="Times New Roman" w:cs="Times New Roman"/>
          <w:color w:val="222222"/>
          <w:shd w:val="clear" w:color="auto" w:fill="FFFFFF"/>
          <w:lang w:eastAsia="hu-HU"/>
        </w:rPr>
        <w:t xml:space="preserve"> </w:t>
      </w:r>
      <w:r w:rsidRPr="006611B3">
        <w:rPr>
          <w:rFonts w:ascii="Times New Roman" w:eastAsia="Times New Roman" w:hAnsi="Times New Roman" w:cs="Times New Roman"/>
          <w:color w:val="222222"/>
          <w:shd w:val="clear" w:color="auto" w:fill="FFFFFF"/>
          <w:lang w:eastAsia="hu-HU"/>
        </w:rPr>
        <w:t xml:space="preserve">illetve intézményi feltételekhez kötődnek. </w:t>
      </w:r>
      <w:r>
        <w:rPr>
          <w:rFonts w:ascii="Times New Roman" w:eastAsia="Times New Roman" w:hAnsi="Times New Roman" w:cs="Times New Roman"/>
          <w:color w:val="222222"/>
          <w:shd w:val="clear" w:color="auto" w:fill="FFFFFF"/>
          <w:lang w:eastAsia="hu-HU"/>
        </w:rPr>
        <w:t>A</w:t>
      </w:r>
      <w:r w:rsidR="001B29B1">
        <w:rPr>
          <w:rFonts w:ascii="Times New Roman" w:eastAsia="Times New Roman" w:hAnsi="Times New Roman" w:cs="Times New Roman"/>
          <w:color w:val="222222"/>
          <w:shd w:val="clear" w:color="auto" w:fill="FFFFFF"/>
          <w:lang w:eastAsia="hu-HU"/>
        </w:rPr>
        <w:t xml:space="preserve"> prekapitalista, archaikus társadalmak</w:t>
      </w:r>
      <w:r>
        <w:rPr>
          <w:rFonts w:ascii="Times New Roman" w:eastAsia="Times New Roman" w:hAnsi="Times New Roman" w:cs="Times New Roman"/>
          <w:color w:val="222222"/>
          <w:shd w:val="clear" w:color="auto" w:fill="FFFFFF"/>
          <w:lang w:eastAsia="hu-HU"/>
        </w:rPr>
        <w:t xml:space="preserve"> fő gazdaságinteg</w:t>
      </w:r>
      <w:r w:rsidR="00D03587">
        <w:rPr>
          <w:rFonts w:ascii="Times New Roman" w:eastAsia="Times New Roman" w:hAnsi="Times New Roman" w:cs="Times New Roman"/>
          <w:color w:val="222222"/>
          <w:shd w:val="clear" w:color="auto" w:fill="FFFFFF"/>
          <w:lang w:eastAsia="hu-HU"/>
        </w:rPr>
        <w:t>rációs formái</w:t>
      </w:r>
      <w:r>
        <w:rPr>
          <w:rFonts w:ascii="Times New Roman" w:eastAsia="Times New Roman" w:hAnsi="Times New Roman" w:cs="Times New Roman"/>
          <w:color w:val="222222"/>
          <w:shd w:val="clear" w:color="auto" w:fill="FFFFFF"/>
          <w:lang w:eastAsia="hu-HU"/>
        </w:rPr>
        <w:t xml:space="preserve"> eszerint elsősorban a reciprocitás </w:t>
      </w:r>
      <w:r w:rsidR="0064640B">
        <w:rPr>
          <w:rFonts w:ascii="Times New Roman" w:eastAsia="Times New Roman" w:hAnsi="Times New Roman" w:cs="Times New Roman"/>
          <w:color w:val="222222"/>
          <w:shd w:val="clear" w:color="auto" w:fill="FFFFFF"/>
          <w:lang w:eastAsia="hu-HU"/>
        </w:rPr>
        <w:t xml:space="preserve">(csere, szívesség viszonzása) </w:t>
      </w:r>
      <w:r>
        <w:rPr>
          <w:rFonts w:ascii="Times New Roman" w:eastAsia="Times New Roman" w:hAnsi="Times New Roman" w:cs="Times New Roman"/>
          <w:color w:val="222222"/>
          <w:shd w:val="clear" w:color="auto" w:fill="FFFFFF"/>
          <w:lang w:eastAsia="hu-HU"/>
        </w:rPr>
        <w:t>és a redisztribúció</w:t>
      </w:r>
      <w:r w:rsidR="0064640B">
        <w:rPr>
          <w:rFonts w:ascii="Times New Roman" w:eastAsia="Times New Roman" w:hAnsi="Times New Roman" w:cs="Times New Roman"/>
          <w:color w:val="222222"/>
          <w:shd w:val="clear" w:color="auto" w:fill="FFFFFF"/>
          <w:lang w:eastAsia="hu-HU"/>
        </w:rPr>
        <w:t xml:space="preserve"> (javak újraelosztása)</w:t>
      </w:r>
      <w:r w:rsidR="001B29B1">
        <w:rPr>
          <w:rFonts w:ascii="Times New Roman" w:eastAsia="Times New Roman" w:hAnsi="Times New Roman" w:cs="Times New Roman"/>
          <w:color w:val="222222"/>
          <w:shd w:val="clear" w:color="auto" w:fill="FFFFFF"/>
          <w:lang w:eastAsia="hu-HU"/>
        </w:rPr>
        <w:t xml:space="preserve"> voltak</w:t>
      </w:r>
      <w:r>
        <w:rPr>
          <w:rFonts w:ascii="Times New Roman" w:eastAsia="Times New Roman" w:hAnsi="Times New Roman" w:cs="Times New Roman"/>
          <w:color w:val="222222"/>
          <w:shd w:val="clear" w:color="auto" w:fill="FFFFFF"/>
          <w:lang w:eastAsia="hu-HU"/>
        </w:rPr>
        <w:t>, amelyek</w:t>
      </w:r>
      <w:r w:rsidRPr="006611B3">
        <w:rPr>
          <w:rFonts w:ascii="Times New Roman" w:eastAsia="Times New Roman" w:hAnsi="Times New Roman" w:cs="Times New Roman"/>
          <w:color w:val="222222"/>
          <w:shd w:val="clear" w:color="auto" w:fill="FFFFFF"/>
          <w:lang w:eastAsia="hu-HU"/>
        </w:rPr>
        <w:t xml:space="preserve"> „nem gazdasági viszonyokba”, hanem a „kultúra vagy a politika szövedékébe” (pl. vallási, erkölcsi, jogi vagy politikai szankciókba, rokonsági-is</w:t>
      </w:r>
      <w:r w:rsidR="001B29B1">
        <w:rPr>
          <w:rFonts w:ascii="Times New Roman" w:eastAsia="Times New Roman" w:hAnsi="Times New Roman" w:cs="Times New Roman"/>
          <w:color w:val="222222"/>
          <w:shd w:val="clear" w:color="auto" w:fill="FFFFFF"/>
          <w:lang w:eastAsia="hu-HU"/>
        </w:rPr>
        <w:t>meretségi viszonyokba) ágyazódt</w:t>
      </w:r>
      <w:r>
        <w:rPr>
          <w:rFonts w:ascii="Times New Roman" w:eastAsia="Times New Roman" w:hAnsi="Times New Roman" w:cs="Times New Roman"/>
          <w:color w:val="222222"/>
          <w:shd w:val="clear" w:color="auto" w:fill="FFFFFF"/>
          <w:lang w:eastAsia="hu-HU"/>
        </w:rPr>
        <w:t>ak be.</w:t>
      </w:r>
    </w:p>
    <w:p w14:paraId="3A3F6C6C" w14:textId="2E69D2A0" w:rsidR="00953820" w:rsidRPr="00953820" w:rsidRDefault="00953820" w:rsidP="006611B3">
      <w:pPr>
        <w:spacing w:line="360" w:lineRule="auto"/>
        <w:jc w:val="both"/>
        <w:rPr>
          <w:rFonts w:ascii="Times New Roman" w:eastAsia="Times New Roman" w:hAnsi="Times New Roman" w:cs="Times New Roman"/>
          <w:i/>
          <w:lang w:eastAsia="hu-HU"/>
        </w:rPr>
      </w:pPr>
      <w:r w:rsidRPr="00953820">
        <w:rPr>
          <w:rFonts w:ascii="Times New Roman" w:eastAsia="Times New Roman" w:hAnsi="Times New Roman" w:cs="Times New Roman"/>
          <w:i/>
          <w:color w:val="222222"/>
          <w:shd w:val="clear" w:color="auto" w:fill="FFFFFF"/>
          <w:lang w:eastAsia="hu-HU"/>
        </w:rPr>
        <w:t>„</w:t>
      </w:r>
      <w:r w:rsidRPr="00953820">
        <w:rPr>
          <w:rFonts w:ascii="Times New Roman" w:hAnsi="Times New Roman" w:cs="Times New Roman"/>
          <w:i/>
        </w:rPr>
        <w:t>A gazdaság fogalmának kikristályosodása az idő és a történelem műve volt. De sem az idő, sem a történelem nem láttak el bennünket olyan fogalmi eszközökkel, hogy áthatolhattunk volna azon társadalmi viszonyok labirintusán, melyekbe a gazdaság be volt ágyazva.” (Polányi 1976)</w:t>
      </w:r>
    </w:p>
    <w:p w14:paraId="39A1DA2B" w14:textId="77777777" w:rsidR="00B22713" w:rsidRDefault="00B22713" w:rsidP="00B22713">
      <w:pPr>
        <w:spacing w:line="360" w:lineRule="auto"/>
        <w:jc w:val="both"/>
        <w:rPr>
          <w:rFonts w:ascii="Times New Roman" w:hAnsi="Times New Roman" w:cs="Times New Roman"/>
        </w:rPr>
      </w:pPr>
      <w:r w:rsidRPr="00B22713">
        <w:rPr>
          <w:rFonts w:ascii="Times New Roman" w:hAnsi="Times New Roman" w:cs="Times New Roman"/>
        </w:rPr>
        <w:t>A beágyazottság legfontosabb kérdése az, hogy milyen mértékben közvetítik a gazdasági tevékenységet személyes kapcsolatok hálózatai, azaz milyen mértékben ágyazódnak be azokba (Lengyel –</w:t>
      </w:r>
      <w:r w:rsidR="001B29B1">
        <w:rPr>
          <w:rFonts w:ascii="Times New Roman" w:hAnsi="Times New Roman" w:cs="Times New Roman"/>
        </w:rPr>
        <w:t xml:space="preserve"> S</w:t>
      </w:r>
      <w:r w:rsidRPr="00B22713">
        <w:rPr>
          <w:rFonts w:ascii="Times New Roman" w:hAnsi="Times New Roman" w:cs="Times New Roman"/>
        </w:rPr>
        <w:t>zántó 2006).</w:t>
      </w:r>
      <w:r>
        <w:rPr>
          <w:rFonts w:ascii="Times New Roman" w:hAnsi="Times New Roman" w:cs="Times New Roman"/>
        </w:rPr>
        <w:t xml:space="preserve"> Ez szoros összefüggésben van a társadalmi hálózatok, társadalmi tőke kutatásával, amelynek részletes ismertetésére a következő alfejezetben térünk ki.</w:t>
      </w:r>
    </w:p>
    <w:p w14:paraId="113B8601" w14:textId="77777777" w:rsidR="00B22713" w:rsidRDefault="00B22713" w:rsidP="00B22713">
      <w:pPr>
        <w:spacing w:line="360" w:lineRule="auto"/>
        <w:jc w:val="both"/>
        <w:rPr>
          <w:rFonts w:ascii="Times New Roman" w:hAnsi="Times New Roman" w:cs="Times New Roman"/>
        </w:rPr>
      </w:pPr>
      <w:r>
        <w:rPr>
          <w:rFonts w:ascii="Times New Roman" w:hAnsi="Times New Roman" w:cs="Times New Roman"/>
        </w:rPr>
        <w:t>Ahogy az előző fejezetben láthattuk, gyakran érvelnek amellett a szociológusok, történészek, antropológusok, hogy a beágyazottság kérdése valóban meghatározó volt a primitív gazdaságokban, azonban a piacgazdaságok korában ez már egyáltalán nem működik, itt már csupán az egyéni nyereségre való racionális törekvés számít.</w:t>
      </w:r>
    </w:p>
    <w:p w14:paraId="33909ACC" w14:textId="77777777" w:rsidR="00B22713" w:rsidRDefault="00535442" w:rsidP="00B22713">
      <w:pPr>
        <w:spacing w:line="360" w:lineRule="auto"/>
        <w:jc w:val="both"/>
        <w:rPr>
          <w:rFonts w:ascii="Times New Roman" w:hAnsi="Times New Roman" w:cs="Times New Roman"/>
        </w:rPr>
      </w:pPr>
      <w:r>
        <w:rPr>
          <w:rFonts w:ascii="Times New Roman" w:hAnsi="Times New Roman" w:cs="Times New Roman"/>
        </w:rPr>
        <w:t xml:space="preserve">Ezzel az állásponttal azóta természetesen többen vitatkoztak. </w:t>
      </w:r>
    </w:p>
    <w:p w14:paraId="4D8F540F" w14:textId="77777777" w:rsidR="00535442" w:rsidRDefault="00535442" w:rsidP="00B22713">
      <w:pPr>
        <w:spacing w:line="360" w:lineRule="auto"/>
        <w:jc w:val="both"/>
        <w:rPr>
          <w:rFonts w:ascii="Times New Roman" w:hAnsi="Times New Roman" w:cs="Times New Roman"/>
        </w:rPr>
      </w:pPr>
    </w:p>
    <w:p w14:paraId="0E989606" w14:textId="77777777" w:rsidR="00535442" w:rsidRPr="00700BB4" w:rsidRDefault="00535442" w:rsidP="00700BB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i/>
        </w:rPr>
      </w:pPr>
      <w:r w:rsidRPr="00700BB4">
        <w:rPr>
          <w:rFonts w:ascii="Times New Roman" w:hAnsi="Times New Roman" w:cs="Times New Roman"/>
          <w:b/>
          <w:i/>
        </w:rPr>
        <w:t>KÉRDÉS</w:t>
      </w:r>
    </w:p>
    <w:p w14:paraId="0EC01E1A" w14:textId="72A937E1" w:rsidR="00535442" w:rsidRPr="00700BB4" w:rsidRDefault="005E02E3" w:rsidP="00700BB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i/>
        </w:rPr>
      </w:pPr>
      <w:r w:rsidRPr="00700BB4">
        <w:rPr>
          <w:rFonts w:ascii="Times New Roman" w:hAnsi="Times New Roman" w:cs="Times New Roman"/>
          <w:b/>
          <w:i/>
        </w:rPr>
        <w:t xml:space="preserve">A </w:t>
      </w:r>
      <w:r w:rsidR="00BE1A2D">
        <w:rPr>
          <w:rFonts w:ascii="Times New Roman" w:hAnsi="Times New Roman" w:cs="Times New Roman"/>
          <w:b/>
          <w:i/>
        </w:rPr>
        <w:t>korrupció m</w:t>
      </w:r>
      <w:r w:rsidR="00B07A30">
        <w:rPr>
          <w:rFonts w:ascii="Times New Roman" w:hAnsi="Times New Roman" w:cs="Times New Roman"/>
          <w:b/>
          <w:i/>
        </w:rPr>
        <w:t>ögött milyen gazdasági</w:t>
      </w:r>
      <w:r w:rsidR="00BE1A2D">
        <w:rPr>
          <w:rFonts w:ascii="Times New Roman" w:hAnsi="Times New Roman" w:cs="Times New Roman"/>
          <w:b/>
          <w:i/>
        </w:rPr>
        <w:t xml:space="preserve"> mechanizmusok húzódhatnak meg?</w:t>
      </w:r>
    </w:p>
    <w:p w14:paraId="30B6B704" w14:textId="77777777" w:rsidR="00700BB4" w:rsidRDefault="00700BB4" w:rsidP="00B22713">
      <w:pPr>
        <w:spacing w:line="360" w:lineRule="auto"/>
        <w:jc w:val="both"/>
        <w:rPr>
          <w:rFonts w:ascii="Times New Roman" w:hAnsi="Times New Roman" w:cs="Times New Roman"/>
        </w:rPr>
      </w:pPr>
    </w:p>
    <w:p w14:paraId="4484AF49" w14:textId="31456AB2" w:rsidR="00490DB7" w:rsidRDefault="00DD52EC" w:rsidP="00B22713">
      <w:pPr>
        <w:spacing w:line="360" w:lineRule="auto"/>
        <w:jc w:val="both"/>
        <w:rPr>
          <w:rFonts w:ascii="Times New Roman" w:hAnsi="Times New Roman" w:cs="Times New Roman"/>
        </w:rPr>
      </w:pPr>
      <w:r>
        <w:rPr>
          <w:rFonts w:ascii="Times New Roman" w:hAnsi="Times New Roman" w:cs="Times New Roman"/>
        </w:rPr>
        <w:lastRenderedPageBreak/>
        <w:t xml:space="preserve">A Polányi-féle (szubsztantív) álláspont szerint mindhárom mechanizmus, azaz a </w:t>
      </w:r>
      <w:r>
        <w:rPr>
          <w:rFonts w:ascii="Times New Roman" w:hAnsi="Times New Roman" w:cs="Times New Roman"/>
          <w:b/>
        </w:rPr>
        <w:t>recipro</w:t>
      </w:r>
      <w:r w:rsidRPr="00DD52EC">
        <w:rPr>
          <w:rFonts w:ascii="Times New Roman" w:hAnsi="Times New Roman" w:cs="Times New Roman"/>
          <w:b/>
        </w:rPr>
        <w:t>citás</w:t>
      </w:r>
      <w:r>
        <w:rPr>
          <w:rFonts w:ascii="Times New Roman" w:hAnsi="Times New Roman" w:cs="Times New Roman"/>
        </w:rPr>
        <w:t xml:space="preserve">, a </w:t>
      </w:r>
      <w:r w:rsidRPr="00DD52EC">
        <w:rPr>
          <w:rFonts w:ascii="Times New Roman" w:hAnsi="Times New Roman" w:cs="Times New Roman"/>
          <w:b/>
        </w:rPr>
        <w:t>redisztribúció</w:t>
      </w:r>
      <w:r>
        <w:rPr>
          <w:rFonts w:ascii="Times New Roman" w:hAnsi="Times New Roman" w:cs="Times New Roman"/>
        </w:rPr>
        <w:t xml:space="preserve"> illetve az </w:t>
      </w:r>
      <w:r w:rsidRPr="00DD52EC">
        <w:rPr>
          <w:rFonts w:ascii="Times New Roman" w:hAnsi="Times New Roman" w:cs="Times New Roman"/>
          <w:b/>
        </w:rPr>
        <w:t>árucsere</w:t>
      </w:r>
      <w:r>
        <w:rPr>
          <w:rFonts w:ascii="Times New Roman" w:hAnsi="Times New Roman" w:cs="Times New Roman"/>
        </w:rPr>
        <w:t xml:space="preserve"> </w:t>
      </w:r>
      <w:r w:rsidRPr="00DD52EC">
        <w:rPr>
          <w:rFonts w:ascii="Times New Roman" w:hAnsi="Times New Roman" w:cs="Times New Roman"/>
        </w:rPr>
        <w:t>(amely mögött már elkülönült gazdasági intézményrendszer, az árszabályozó piacok rendszere húzódik meg)</w:t>
      </w:r>
      <w:r>
        <w:rPr>
          <w:rFonts w:ascii="Times New Roman" w:hAnsi="Times New Roman" w:cs="Times New Roman"/>
        </w:rPr>
        <w:t xml:space="preserve"> jelen volt és jelen van a társadalmakban, csupán a modern kapitalista rendszerekben a hangsúly az árucsere mechanizmusára tevődik át (Szántó 1994).</w:t>
      </w:r>
    </w:p>
    <w:p w14:paraId="4F1B0D13" w14:textId="00D5543C" w:rsidR="00490DB7" w:rsidRDefault="00490DB7" w:rsidP="00250DE6">
      <w:pPr>
        <w:spacing w:line="360" w:lineRule="auto"/>
        <w:jc w:val="both"/>
        <w:rPr>
          <w:rFonts w:ascii="Times New Roman" w:hAnsi="Times New Roman" w:cs="Times New Roman"/>
        </w:rPr>
      </w:pPr>
      <w:r>
        <w:rPr>
          <w:rFonts w:ascii="Times New Roman" w:hAnsi="Times New Roman" w:cs="Times New Roman"/>
        </w:rPr>
        <w:t>Sok közgazdász ezzel szemben az</w:t>
      </w:r>
      <w:r w:rsidR="00C53CAD">
        <w:rPr>
          <w:rFonts w:ascii="Times New Roman" w:hAnsi="Times New Roman" w:cs="Times New Roman"/>
        </w:rPr>
        <w:t>on az állásponton van, hogy nem történt lényeges hangsúlyeltolódás. Ők gyakran hivatkoznak Adam Smith-re, aki szerint az emberi természetben mindigis volt egyfajta hajlam a cs</w:t>
      </w:r>
      <w:r w:rsidR="00A02FF9">
        <w:rPr>
          <w:rFonts w:ascii="Times New Roman" w:hAnsi="Times New Roman" w:cs="Times New Roman"/>
        </w:rPr>
        <w:t>e</w:t>
      </w:r>
      <w:r w:rsidR="00C53CAD">
        <w:rPr>
          <w:rFonts w:ascii="Times New Roman" w:hAnsi="Times New Roman" w:cs="Times New Roman"/>
        </w:rPr>
        <w:t>rélgetésre</w:t>
      </w:r>
      <w:r w:rsidR="00A02FF9">
        <w:rPr>
          <w:rFonts w:ascii="Times New Roman" w:hAnsi="Times New Roman" w:cs="Times New Roman"/>
        </w:rPr>
        <w:t>. Az új intézményi közgazdaságtan követői is erre hivatkoznak, ez alapján minden társadalmi vagy jogi tényezőből eredő viselkedést helyesebb gazdaságilag racionális, önérdekkövető egyének cselekvésének eredményeként értelmezni.</w:t>
      </w:r>
    </w:p>
    <w:p w14:paraId="6477B440" w14:textId="35EBADFF" w:rsidR="00C24C12" w:rsidRPr="00C90313" w:rsidRDefault="006A5CF4" w:rsidP="00C24C12">
      <w:pPr>
        <w:spacing w:line="360" w:lineRule="auto"/>
        <w:jc w:val="both"/>
        <w:rPr>
          <w:rFonts w:ascii="Times New Roman" w:hAnsi="Times New Roman" w:cs="Times New Roman"/>
          <w:color w:val="000000"/>
        </w:rPr>
      </w:pPr>
      <w:r>
        <w:rPr>
          <w:rFonts w:ascii="Times New Roman" w:hAnsi="Times New Roman" w:cs="Times New Roman"/>
        </w:rPr>
        <w:t xml:space="preserve">Mark Granovetter (1990) </w:t>
      </w:r>
      <w:r w:rsidR="00456591">
        <w:rPr>
          <w:rFonts w:ascii="Times New Roman" w:hAnsi="Times New Roman" w:cs="Times New Roman"/>
        </w:rPr>
        <w:t xml:space="preserve">az új gazdaságszociológia képviselője </w:t>
      </w:r>
      <w:r>
        <w:rPr>
          <w:rFonts w:ascii="Times New Roman" w:hAnsi="Times New Roman" w:cs="Times New Roman"/>
        </w:rPr>
        <w:t>mindez</w:t>
      </w:r>
      <w:r w:rsidR="00696477">
        <w:rPr>
          <w:rFonts w:ascii="Times New Roman" w:hAnsi="Times New Roman" w:cs="Times New Roman"/>
        </w:rPr>
        <w:t xml:space="preserve">zel szemben úgy véli, hogy a beágyazottság az emberiség történetében mindig nagyon fontos volt, és jelenleg a piacgazdaság időszakában is az. </w:t>
      </w:r>
      <w:r w:rsidR="0016093A">
        <w:rPr>
          <w:rFonts w:ascii="Times New Roman" w:hAnsi="Times New Roman" w:cs="Times New Roman"/>
        </w:rPr>
        <w:t xml:space="preserve">Granovetter nevéhez kapcsolódik az ún. </w:t>
      </w:r>
      <w:r w:rsidR="0016093A" w:rsidRPr="0016093A">
        <w:rPr>
          <w:rFonts w:ascii="Times New Roman" w:hAnsi="Times New Roman" w:cs="Times New Roman"/>
          <w:b/>
        </w:rPr>
        <w:t xml:space="preserve">gyenge </w:t>
      </w:r>
      <w:r w:rsidR="0016093A" w:rsidRPr="00C90313">
        <w:rPr>
          <w:rFonts w:ascii="Times New Roman" w:hAnsi="Times New Roman" w:cs="Times New Roman"/>
          <w:b/>
        </w:rPr>
        <w:t>beágyazottság</w:t>
      </w:r>
      <w:r w:rsidR="00B1488F" w:rsidRPr="00C90313">
        <w:rPr>
          <w:rFonts w:ascii="Times New Roman" w:hAnsi="Times New Roman" w:cs="Times New Roman"/>
          <w:b/>
        </w:rPr>
        <w:t xml:space="preserve"> </w:t>
      </w:r>
      <w:r w:rsidR="00B1488F" w:rsidRPr="00C90313">
        <w:rPr>
          <w:rFonts w:ascii="Times New Roman" w:hAnsi="Times New Roman" w:cs="Times New Roman"/>
        </w:rPr>
        <w:t>(weak embeddness)</w:t>
      </w:r>
      <w:r w:rsidR="0016093A" w:rsidRPr="00C90313">
        <w:rPr>
          <w:rFonts w:ascii="Times New Roman" w:hAnsi="Times New Roman" w:cs="Times New Roman"/>
        </w:rPr>
        <w:t xml:space="preserve"> koncepciója is</w:t>
      </w:r>
      <w:r w:rsidR="00C24C12" w:rsidRPr="00C90313">
        <w:rPr>
          <w:rFonts w:ascii="Times New Roman" w:hAnsi="Times New Roman" w:cs="Times New Roman"/>
        </w:rPr>
        <w:t xml:space="preserve">. </w:t>
      </w:r>
      <w:r w:rsidR="00C24C12" w:rsidRPr="00C90313">
        <w:rPr>
          <w:rFonts w:ascii="Times New Roman" w:hAnsi="Times New Roman" w:cs="Times New Roman"/>
          <w:color w:val="000000"/>
        </w:rPr>
        <w:t> Granovetter a g</w:t>
      </w:r>
      <w:r w:rsidR="008E4866">
        <w:rPr>
          <w:rFonts w:ascii="Times New Roman" w:hAnsi="Times New Roman" w:cs="Times New Roman"/>
          <w:color w:val="000000"/>
        </w:rPr>
        <w:t>azdasági jelenségek három eltérő</w:t>
      </w:r>
      <w:r w:rsidR="00C24C12" w:rsidRPr="00C90313">
        <w:rPr>
          <w:rFonts w:ascii="Times New Roman" w:hAnsi="Times New Roman" w:cs="Times New Roman"/>
          <w:color w:val="000000"/>
        </w:rPr>
        <w:t xml:space="preserve"> szintjét - az intézmények mellett a gazdasági cselekvések és eredmények beágyazottságát is - vizsgálja. Külön értelmezi a beágyazottság relációs és strukturális aspektusát. Az első a cselekvők személyes kapcsolatainak (Én-hálózatának), a második a teljes hálózat szerkezeti sajátosságainak hatására utal. Másfelől rámutat, hogy a beágyazottság mértéke a prekapitalista társadalmakban alacsonyabb, a piacgazdaságokban viszont magasabb, mint ahogy azt a szubsztantív koncepció sugallja. Felfogásában a gazdaság társadalmi beágyazottságának mértéke nem változik meg alapvetően a kapitalizmus kialakulásával. Ennyiben rokon a közgazdászok nézetével, ugyanakkor gyökeresen különbözik attól, mikor azt állítja, hogy a társadalmi kapcsolathálóknak a gazdasági cselekvésekre, intézményekre és eredményekre gyakorolt hatását bármilyen típusú gazdasági berendezkedés elemzésekor igenis számításba kell venni. Így a gazdaságszociológia szerencsésen kiegészíti és javítja a közgazdasági magyarázatokat. Álláspontját három dologgal indokolja (Granovetter 1992: 25-26): </w:t>
      </w:r>
    </w:p>
    <w:p w14:paraId="550BA2F5" w14:textId="77777777" w:rsidR="00C24C12" w:rsidRPr="00C90313" w:rsidRDefault="00C24C12" w:rsidP="00C24C12">
      <w:pPr>
        <w:spacing w:line="360" w:lineRule="auto"/>
        <w:ind w:firstLine="708"/>
        <w:jc w:val="both"/>
        <w:rPr>
          <w:rFonts w:ascii="Times New Roman" w:hAnsi="Times New Roman" w:cs="Times New Roman"/>
          <w:color w:val="000000"/>
        </w:rPr>
      </w:pPr>
      <w:r w:rsidRPr="00C90313">
        <w:rPr>
          <w:rFonts w:ascii="Times New Roman" w:hAnsi="Times New Roman" w:cs="Times New Roman"/>
          <w:color w:val="000000"/>
        </w:rPr>
        <w:t xml:space="preserve">(1) a gazdasági célok követése általában nem gazdasági célok (pl. hatalom, társadalmi státusz, presztízs, társaságkedvelés) követésével párosul; </w:t>
      </w:r>
    </w:p>
    <w:p w14:paraId="3D264DCD" w14:textId="77777777" w:rsidR="00C24C12" w:rsidRPr="00C90313" w:rsidRDefault="00C24C12" w:rsidP="00C24C12">
      <w:pPr>
        <w:spacing w:line="360" w:lineRule="auto"/>
        <w:ind w:firstLine="708"/>
        <w:jc w:val="both"/>
        <w:rPr>
          <w:rFonts w:ascii="Times New Roman" w:hAnsi="Times New Roman" w:cs="Times New Roman"/>
          <w:color w:val="000000"/>
        </w:rPr>
      </w:pPr>
      <w:r w:rsidRPr="00C90313">
        <w:rPr>
          <w:rFonts w:ascii="Times New Roman" w:hAnsi="Times New Roman" w:cs="Times New Roman"/>
          <w:color w:val="000000"/>
        </w:rPr>
        <w:t xml:space="preserve">(2)  a gazdasági cselekvés (mint minden cselekvés) társadalmilag meghatározott, és nem lehet kizárólag egyéni motívumok fényében magyarázni; </w:t>
      </w:r>
    </w:p>
    <w:p w14:paraId="6630527A" w14:textId="72E93AE8" w:rsidR="00C24C12" w:rsidRPr="00C90313" w:rsidRDefault="00C24C12" w:rsidP="00C90313">
      <w:pPr>
        <w:spacing w:line="360" w:lineRule="auto"/>
        <w:ind w:firstLine="708"/>
        <w:jc w:val="both"/>
        <w:rPr>
          <w:rFonts w:ascii="Times New Roman" w:hAnsi="Times New Roman" w:cs="Times New Roman"/>
          <w:color w:val="000000"/>
        </w:rPr>
      </w:pPr>
      <w:r w:rsidRPr="00C90313">
        <w:rPr>
          <w:rFonts w:ascii="Times New Roman" w:hAnsi="Times New Roman" w:cs="Times New Roman"/>
          <w:color w:val="000000"/>
        </w:rPr>
        <w:t>(3) a gazdasági intézmények (mint az intézmények általában) nem automatikusan, a külső körülmények szülte elkerülhetetlen formában jönnek létre, sokkal inkább társadalmilag formálódnak.</w:t>
      </w:r>
    </w:p>
    <w:p w14:paraId="6C147C89" w14:textId="2C5B4357" w:rsidR="002F3C04" w:rsidRDefault="00C90313" w:rsidP="00C90313">
      <w:pPr>
        <w:pStyle w:val="NormlWeb"/>
        <w:spacing w:line="360" w:lineRule="auto"/>
        <w:jc w:val="both"/>
      </w:pPr>
      <w:r w:rsidRPr="00C90313">
        <w:t>Az új gazdaságszociológia külön definiálja a gazdasági cselekvések társadalmi beágyazottságának kognitív, kulturális, strukturális és politikai aspektusát (Zukin-DiMaggio 1990: 14-23), utalva a gazdasági cselekvések kongitív, kulturális, társadalo</w:t>
      </w:r>
      <w:r w:rsidR="002F3C04">
        <w:t>mszerkezeti és politikai tényezőktő</w:t>
      </w:r>
      <w:r w:rsidRPr="00C90313">
        <w:t>l való függésére (Szántó 1994).</w:t>
      </w:r>
      <w:r w:rsidR="002F3C04">
        <w:t xml:space="preserve"> </w:t>
      </w:r>
      <w:r w:rsidR="002F3C04">
        <w:br/>
      </w:r>
      <w:r w:rsidR="002F3C04">
        <w:tab/>
        <w:t>A beágyazottság problémáját összefoglalva azt mondhatjuk, hogy a modern gazdaságszociológia álláspontja nem sokban tér el attól, amit már Polányi Károly is megfogalmazott. Nevezetesen arról van szó, hogy sem a gazdasági cselekvéseket, sem a gazdasági eredményeket, sem a társadalmi-gazdasági intézményeket nem vizsgálhatjuk anélkül, hogy ne lennénk tekintettel a személyközi kapcsolathálókra, a cselekedeteket motiváló nem gazdasági jellegű tényezőkre.</w:t>
      </w:r>
    </w:p>
    <w:p w14:paraId="3AEDAB3C" w14:textId="0B53D4CF" w:rsidR="00C90313" w:rsidRPr="004D1B88" w:rsidRDefault="004D1B88" w:rsidP="004D1B88">
      <w:pPr>
        <w:ind w:firstLine="360"/>
        <w:rPr>
          <w:rFonts w:ascii="Times New Roman" w:hAnsi="Times New Roman" w:cs="Times New Roman"/>
          <w:lang w:eastAsia="hu-HU"/>
        </w:rPr>
      </w:pPr>
      <w:r>
        <w:rPr>
          <w:rFonts w:ascii="Times New Roman" w:hAnsi="Times New Roman" w:cs="Times New Roman"/>
          <w:b/>
          <w:sz w:val="28"/>
        </w:rPr>
        <w:t>4.2 A</w:t>
      </w:r>
      <w:r w:rsidRPr="004D1B88">
        <w:rPr>
          <w:rFonts w:ascii="Times New Roman" w:hAnsi="Times New Roman" w:cs="Times New Roman"/>
          <w:b/>
          <w:sz w:val="28"/>
        </w:rPr>
        <w:t xml:space="preserve"> társadalmi tőke</w:t>
      </w:r>
    </w:p>
    <w:p w14:paraId="7885B9C8" w14:textId="77777777" w:rsidR="00C90313" w:rsidRPr="00C24C12" w:rsidRDefault="00C90313" w:rsidP="00C24C12">
      <w:pPr>
        <w:rPr>
          <w:rFonts w:ascii="Times New Roman" w:eastAsia="Times New Roman" w:hAnsi="Times New Roman" w:cs="Times New Roman"/>
          <w:lang w:eastAsia="hu-HU"/>
        </w:rPr>
      </w:pPr>
    </w:p>
    <w:p w14:paraId="6DEE0A71" w14:textId="0A3F8EBE" w:rsidR="00EB7546" w:rsidRPr="00EB7546" w:rsidRDefault="00EB7546" w:rsidP="00EB7546">
      <w:pPr>
        <w:pStyle w:val="Listabekezds"/>
        <w:numPr>
          <w:ilvl w:val="0"/>
          <w:numId w:val="2"/>
        </w:numPr>
        <w:spacing w:line="360" w:lineRule="auto"/>
        <w:jc w:val="both"/>
        <w:rPr>
          <w:rFonts w:ascii="Times New Roman" w:hAnsi="Times New Roman" w:cs="Times New Roman"/>
          <w:b/>
        </w:rPr>
      </w:pPr>
      <w:r w:rsidRPr="00EB7546">
        <w:rPr>
          <w:rFonts w:ascii="Times New Roman" w:hAnsi="Times New Roman" w:cs="Times New Roman"/>
          <w:b/>
        </w:rPr>
        <w:t>Miért kell ezzel foglalkoznia egy közgazdásznak?</w:t>
      </w:r>
    </w:p>
    <w:p w14:paraId="1E5050FC" w14:textId="77777777" w:rsidR="00EB7546" w:rsidRPr="00EB7546" w:rsidRDefault="00EB7546" w:rsidP="00EB7546">
      <w:pPr>
        <w:pStyle w:val="Listabekezds"/>
        <w:spacing w:line="360" w:lineRule="auto"/>
        <w:jc w:val="both"/>
        <w:rPr>
          <w:rFonts w:ascii="Times New Roman" w:hAnsi="Times New Roman" w:cs="Times New Roman"/>
        </w:rPr>
      </w:pPr>
    </w:p>
    <w:p w14:paraId="60138E08" w14:textId="02339954" w:rsidR="00EB7546" w:rsidRDefault="00EB7546" w:rsidP="00EB7546">
      <w:pPr>
        <w:spacing w:line="360" w:lineRule="auto"/>
        <w:jc w:val="both"/>
        <w:rPr>
          <w:rFonts w:ascii="Times New Roman" w:hAnsi="Times New Roman" w:cs="Times New Roman"/>
        </w:rPr>
      </w:pPr>
      <w:r w:rsidRPr="00EB7546">
        <w:rPr>
          <w:rFonts w:ascii="Times New Roman" w:hAnsi="Times New Roman" w:cs="Times New Roman"/>
        </w:rPr>
        <w:t xml:space="preserve">Minden emberek által alkotott struktúrában elkülöníthetők olyan tőkeelemek, amelyek meghatározó szerephez jutnak annak kialakulásában, fennállásában vagy épp megváltozásában. A társadalmi tőke egyének, formális és informális csoportok közötti kapcsolatként megjelenő, nem anyagi </w:t>
      </w:r>
      <w:r w:rsidRPr="00EB7546">
        <w:rPr>
          <w:rFonts w:ascii="Times New Roman" w:hAnsi="Times New Roman" w:cs="Times New Roman"/>
          <w:b/>
        </w:rPr>
        <w:t>erőforrás</w:t>
      </w:r>
      <w:r w:rsidRPr="00EB7546">
        <w:rPr>
          <w:rFonts w:ascii="Times New Roman" w:hAnsi="Times New Roman" w:cs="Times New Roman"/>
        </w:rPr>
        <w:t>, amely átszövi egy társadalom gazdasági, politikai életét.</w:t>
      </w:r>
      <w:r>
        <w:rPr>
          <w:rFonts w:ascii="Times New Roman" w:hAnsi="Times New Roman" w:cs="Times New Roman"/>
        </w:rPr>
        <w:t xml:space="preserve"> </w:t>
      </w:r>
    </w:p>
    <w:p w14:paraId="4353D588" w14:textId="77777777" w:rsidR="00EB7546" w:rsidRDefault="00EB7546" w:rsidP="00EB7546">
      <w:pPr>
        <w:spacing w:line="360" w:lineRule="auto"/>
        <w:jc w:val="both"/>
        <w:rPr>
          <w:rFonts w:ascii="Times New Roman" w:hAnsi="Times New Roman" w:cs="Times New Roman"/>
        </w:rPr>
      </w:pPr>
    </w:p>
    <w:p w14:paraId="108DD39B" w14:textId="6E8D5FEC" w:rsidR="00EB7546" w:rsidRPr="00EB7546" w:rsidRDefault="00EB7546" w:rsidP="00EB754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i/>
        </w:rPr>
      </w:pPr>
      <w:r w:rsidRPr="00EB7546">
        <w:rPr>
          <w:rFonts w:ascii="Times New Roman" w:hAnsi="Times New Roman" w:cs="Times New Roman"/>
          <w:b/>
          <w:i/>
        </w:rPr>
        <w:t>KÉRDÉS</w:t>
      </w:r>
    </w:p>
    <w:p w14:paraId="6F03BA68" w14:textId="1858DE07" w:rsidR="00EB7546" w:rsidRPr="00EB7546" w:rsidRDefault="00EB7546" w:rsidP="00EB7546">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i/>
        </w:rPr>
      </w:pPr>
      <w:r w:rsidRPr="00EB7546">
        <w:rPr>
          <w:rFonts w:ascii="Times New Roman" w:hAnsi="Times New Roman" w:cs="Times New Roman"/>
          <w:b/>
          <w:i/>
        </w:rPr>
        <w:t>Előfordulhat-e az üzleti vagy politikai életben, ho</w:t>
      </w:r>
      <w:r w:rsidR="004D1B88">
        <w:rPr>
          <w:rFonts w:ascii="Times New Roman" w:hAnsi="Times New Roman" w:cs="Times New Roman"/>
          <w:b/>
          <w:i/>
        </w:rPr>
        <w:t>gy valaki a kapcsolatainak</w:t>
      </w:r>
      <w:r w:rsidRPr="00EB7546">
        <w:rPr>
          <w:rFonts w:ascii="Times New Roman" w:hAnsi="Times New Roman" w:cs="Times New Roman"/>
          <w:b/>
          <w:i/>
        </w:rPr>
        <w:t xml:space="preserve"> köszönhetően jut anyagi haszonhoz? Ha igen, keressen példákat erre!</w:t>
      </w:r>
    </w:p>
    <w:p w14:paraId="669DB40C" w14:textId="77777777" w:rsidR="00EB7546" w:rsidRDefault="00EB7546" w:rsidP="00EB7546">
      <w:pPr>
        <w:spacing w:line="360" w:lineRule="auto"/>
        <w:ind w:firstLine="708"/>
        <w:jc w:val="both"/>
        <w:rPr>
          <w:rFonts w:ascii="Times New Roman" w:hAnsi="Times New Roman" w:cs="Times New Roman"/>
        </w:rPr>
      </w:pPr>
    </w:p>
    <w:p w14:paraId="693CA1D8" w14:textId="53F976FD" w:rsidR="00EB7546" w:rsidRPr="00EB7546" w:rsidRDefault="00EB7546" w:rsidP="00EB7546">
      <w:pPr>
        <w:spacing w:line="360" w:lineRule="auto"/>
        <w:jc w:val="both"/>
        <w:rPr>
          <w:rFonts w:ascii="Times New Roman" w:hAnsi="Times New Roman" w:cs="Times New Roman"/>
          <w:sz w:val="32"/>
        </w:rPr>
      </w:pPr>
      <w:r w:rsidRPr="00EB7546">
        <w:rPr>
          <w:rFonts w:ascii="Times New Roman" w:hAnsi="Times New Roman" w:cs="Times New Roman"/>
        </w:rPr>
        <w:t xml:space="preserve">A társadalmi tőke vizsgálata ma már nem csupán a szociológia diszciplináin belül működő, pozitivista </w:t>
      </w:r>
      <w:r w:rsidR="00A8647D">
        <w:rPr>
          <w:rFonts w:ascii="Times New Roman" w:hAnsi="Times New Roman" w:cs="Times New Roman"/>
        </w:rPr>
        <w:t xml:space="preserve">(értékmentes) </w:t>
      </w:r>
      <w:r w:rsidRPr="00EB7546">
        <w:rPr>
          <w:rFonts w:ascii="Times New Roman" w:hAnsi="Times New Roman" w:cs="Times New Roman"/>
        </w:rPr>
        <w:t xml:space="preserve">szemléletmódhoz kapcsolódik, hanem normatív </w:t>
      </w:r>
      <w:r w:rsidR="00167D8D">
        <w:rPr>
          <w:rFonts w:ascii="Times New Roman" w:hAnsi="Times New Roman" w:cs="Times New Roman"/>
        </w:rPr>
        <w:t xml:space="preserve">(értékvezérelt) </w:t>
      </w:r>
      <w:r w:rsidRPr="00EB7546">
        <w:rPr>
          <w:rFonts w:ascii="Times New Roman" w:hAnsi="Times New Roman" w:cs="Times New Roman"/>
        </w:rPr>
        <w:t>szerepet öltve kiemelkedő helyet foglal el a gazdaságtudományok és azon belül a stratégiai tervezés, fejlesztés területén is. Gazdaságpolitikai létjogosultságát bizonyítja, hogy a jelenlegi tervezési időszakra elkészítendő városfejlesztési koncepciók (VFK) és stratégiák (IVS) hátteréül szolgáló Városfejlesztési Kézikönyv (2012) is külön fejezetet szentel a társadalmi tőkének.</w:t>
      </w:r>
    </w:p>
    <w:p w14:paraId="4B11253F" w14:textId="327244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Ezen felül olyan nemzetközi szervezetek is figyelmet szentelnek a társadalmi tőkének elemző és fejlesztő projektjeiken keresztül, mint a Világbank, az OECD, vagy az ENSZ (Füzér et al. 2005).</w:t>
      </w:r>
    </w:p>
    <w:p w14:paraId="36CB6127"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 xml:space="preserve">Bár a társadalmi tőkéhez kapcsolódó mechanizmusok tudományos elemzése jóval problematikusabb, mint a gazdasági tőke esetében, mégis olyan strukturális jellegű, bármely tőketípusra közvetlen hatást kifejteni képes elemként funkcionál, amely figyelembe vétele nélkül könnyűszerrel célt téveszthetnek a gazdaságpolitikai beavatkozások. Mindezeken túl egyes szakirodalmak a társadalmi tőkére egyenesen a demokrácia működőképességének kulcsaként tekintenek (Putnam 2000). </w:t>
      </w:r>
    </w:p>
    <w:p w14:paraId="450D9B5C" w14:textId="46B81E6D" w:rsidR="00EB7546" w:rsidRDefault="00EB7546" w:rsidP="00C55B8E">
      <w:pPr>
        <w:spacing w:line="360" w:lineRule="auto"/>
        <w:ind w:firstLine="708"/>
        <w:jc w:val="both"/>
        <w:rPr>
          <w:rFonts w:ascii="Times New Roman" w:hAnsi="Times New Roman" w:cs="Times New Roman"/>
        </w:rPr>
      </w:pPr>
      <w:r w:rsidRPr="00EB7546">
        <w:rPr>
          <w:rFonts w:ascii="Times New Roman" w:hAnsi="Times New Roman" w:cs="Times New Roman"/>
        </w:rPr>
        <w:t>Természetesen nemcsak makroszinten érdemes a társadalmi tőkével foglalkozni. Ez a</w:t>
      </w:r>
      <w:r w:rsidR="00C6489A">
        <w:rPr>
          <w:rFonts w:ascii="Times New Roman" w:hAnsi="Times New Roman" w:cs="Times New Roman"/>
        </w:rPr>
        <w:t xml:space="preserve"> tőketípus befolyásolhatja</w:t>
      </w:r>
      <w:r w:rsidRPr="00EB7546">
        <w:rPr>
          <w:rFonts w:ascii="Times New Roman" w:hAnsi="Times New Roman" w:cs="Times New Roman"/>
        </w:rPr>
        <w:t xml:space="preserve"> egyének, csoportok, települések helyzetét is, meghatározhatja az érintettek részvételének lehetőségét a döntési folyamatokban, </w:t>
      </w:r>
      <w:r w:rsidR="00C6489A">
        <w:rPr>
          <w:rFonts w:ascii="Times New Roman" w:hAnsi="Times New Roman" w:cs="Times New Roman"/>
        </w:rPr>
        <w:t xml:space="preserve">fontos szerepet játszhat </w:t>
      </w:r>
      <w:r w:rsidRPr="00EB7546">
        <w:rPr>
          <w:rFonts w:ascii="Times New Roman" w:hAnsi="Times New Roman" w:cs="Times New Roman"/>
        </w:rPr>
        <w:t xml:space="preserve">formális és informális intézmények kiépülésében, </w:t>
      </w:r>
      <w:r w:rsidR="00CF3E2F">
        <w:rPr>
          <w:rFonts w:ascii="Times New Roman" w:hAnsi="Times New Roman" w:cs="Times New Roman"/>
        </w:rPr>
        <w:t xml:space="preserve">vállalatok versenyképességében, </w:t>
      </w:r>
      <w:r w:rsidRPr="00EB7546">
        <w:rPr>
          <w:rFonts w:ascii="Times New Roman" w:hAnsi="Times New Roman" w:cs="Times New Roman"/>
        </w:rPr>
        <w:t xml:space="preserve">illetve különféle bottom-up kezdeményezések kulcselemeként is funkcionálhat. </w:t>
      </w:r>
    </w:p>
    <w:p w14:paraId="6C86E863" w14:textId="77777777" w:rsidR="00953DE5" w:rsidRDefault="00953DE5" w:rsidP="00C55B8E">
      <w:pPr>
        <w:spacing w:line="360" w:lineRule="auto"/>
        <w:ind w:firstLine="708"/>
        <w:jc w:val="both"/>
        <w:rPr>
          <w:rFonts w:ascii="Times New Roman" w:hAnsi="Times New Roman" w:cs="Times New Roman"/>
        </w:rPr>
      </w:pPr>
    </w:p>
    <w:p w14:paraId="1576E11E" w14:textId="1F9E046A" w:rsidR="00C55B8E" w:rsidRDefault="00C55B8E" w:rsidP="00953DE5">
      <w:pPr>
        <w:spacing w:line="360" w:lineRule="auto"/>
        <w:ind w:firstLine="708"/>
        <w:jc w:val="both"/>
        <w:rPr>
          <w:rFonts w:ascii="Times New Roman" w:hAnsi="Times New Roman" w:cs="Times New Roman"/>
          <w:i/>
        </w:rPr>
      </w:pPr>
      <w:r w:rsidRPr="00C55B8E">
        <w:rPr>
          <w:rFonts w:ascii="Times New Roman" w:hAnsi="Times New Roman" w:cs="Times New Roman"/>
          <w:i/>
        </w:rPr>
        <w:t xml:space="preserve">Gondoljunk például a vállalaton belüli vagy vállalatok közötti információcserére, </w:t>
      </w:r>
      <w:r>
        <w:rPr>
          <w:rFonts w:ascii="Times New Roman" w:hAnsi="Times New Roman" w:cs="Times New Roman"/>
          <w:i/>
        </w:rPr>
        <w:t>ami</w:t>
      </w:r>
      <w:r w:rsidRPr="00C55B8E">
        <w:rPr>
          <w:rFonts w:ascii="Times New Roman" w:hAnsi="Times New Roman" w:cs="Times New Roman"/>
          <w:i/>
        </w:rPr>
        <w:t xml:space="preserve"> az innovációk elterjedésében</w:t>
      </w:r>
      <w:r w:rsidR="00C6489A">
        <w:rPr>
          <w:rFonts w:ascii="Times New Roman" w:hAnsi="Times New Roman" w:cs="Times New Roman"/>
          <w:i/>
        </w:rPr>
        <w:t xml:space="preserve"> sarkalatos tényező lehet</w:t>
      </w:r>
      <w:r w:rsidRPr="00C55B8E">
        <w:rPr>
          <w:rFonts w:ascii="Times New Roman" w:hAnsi="Times New Roman" w:cs="Times New Roman"/>
          <w:i/>
        </w:rPr>
        <w:t>. A bizalom nyomán jelentősen csökkenhetnek a tranzakciós (bürokratikus) költségek is. Ha pl. régóta is</w:t>
      </w:r>
      <w:r>
        <w:rPr>
          <w:rFonts w:ascii="Times New Roman" w:hAnsi="Times New Roman" w:cs="Times New Roman"/>
          <w:i/>
        </w:rPr>
        <w:t>merünk egy üzleti partnert, akiről tudjuk, hogy tökéletesen megbízható, megspórolhatók a különféle ellenőrző, biztosító intézkedések</w:t>
      </w:r>
      <w:r w:rsidR="00953DE5">
        <w:rPr>
          <w:rFonts w:ascii="Times New Roman" w:hAnsi="Times New Roman" w:cs="Times New Roman"/>
          <w:i/>
        </w:rPr>
        <w:t>, szerződéskötések</w:t>
      </w:r>
      <w:r>
        <w:rPr>
          <w:rFonts w:ascii="Times New Roman" w:hAnsi="Times New Roman" w:cs="Times New Roman"/>
          <w:i/>
        </w:rPr>
        <w:t xml:space="preserve"> egy közös üzlet létrehozása során.</w:t>
      </w:r>
    </w:p>
    <w:p w14:paraId="52B6CC22" w14:textId="77777777" w:rsidR="00953DE5" w:rsidRPr="00C55B8E" w:rsidRDefault="00953DE5" w:rsidP="00953DE5">
      <w:pPr>
        <w:spacing w:line="360" w:lineRule="auto"/>
        <w:ind w:firstLine="708"/>
        <w:jc w:val="both"/>
        <w:rPr>
          <w:rFonts w:ascii="Times New Roman" w:hAnsi="Times New Roman" w:cs="Times New Roman"/>
          <w:i/>
        </w:rPr>
      </w:pPr>
    </w:p>
    <w:p w14:paraId="335ADEE6" w14:textId="2DA33898" w:rsidR="00EB7546" w:rsidRDefault="00C6489A" w:rsidP="00EB7546">
      <w:pPr>
        <w:spacing w:line="360" w:lineRule="auto"/>
        <w:jc w:val="both"/>
        <w:rPr>
          <w:rFonts w:ascii="Times New Roman" w:hAnsi="Times New Roman" w:cs="Times New Roman"/>
        </w:rPr>
      </w:pPr>
      <w:r>
        <w:rPr>
          <w:rFonts w:ascii="Times New Roman" w:hAnsi="Times New Roman" w:cs="Times New Roman"/>
        </w:rPr>
        <w:t>Ha makroszinten vizsgálódunk, akkor a</w:t>
      </w:r>
      <w:r w:rsidR="00EB7546" w:rsidRPr="00EB7546">
        <w:rPr>
          <w:rFonts w:ascii="Times New Roman" w:hAnsi="Times New Roman" w:cs="Times New Roman"/>
        </w:rPr>
        <w:t xml:space="preserve"> társadalmi tőke összekötő, de kizáró funkcióval is bírhat, elősegítheti, de adott esetben hátráltathatja is egyes csoportok társadalmi integrációját vagy általában a társadalmi kohéziót, illetve új értelmet is adhat ezeknek a fogalmaknak (Lockwood 1964, Putnam 1995, Castel 2000).</w:t>
      </w:r>
    </w:p>
    <w:p w14:paraId="0A6E3589" w14:textId="77777777" w:rsidR="00A8647D" w:rsidRDefault="00A8647D" w:rsidP="00EB7546">
      <w:pPr>
        <w:spacing w:line="360" w:lineRule="auto"/>
        <w:jc w:val="both"/>
        <w:rPr>
          <w:rFonts w:ascii="Times New Roman" w:hAnsi="Times New Roman" w:cs="Times New Roman"/>
        </w:rPr>
      </w:pPr>
    </w:p>
    <w:p w14:paraId="0A09C0F5" w14:textId="1A4DEE7C" w:rsidR="00EB7546" w:rsidRPr="00135550" w:rsidRDefault="00135550" w:rsidP="0013555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i/>
        </w:rPr>
      </w:pPr>
      <w:r w:rsidRPr="00135550">
        <w:rPr>
          <w:rFonts w:ascii="Times New Roman" w:hAnsi="Times New Roman" w:cs="Times New Roman"/>
          <w:b/>
          <w:i/>
        </w:rPr>
        <w:t>KÉRDÉS</w:t>
      </w:r>
    </w:p>
    <w:p w14:paraId="142CEB5C" w14:textId="4541D3EE" w:rsidR="00135550" w:rsidRPr="00135550" w:rsidRDefault="00A8647D" w:rsidP="0013555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i/>
        </w:rPr>
      </w:pPr>
      <w:r>
        <w:rPr>
          <w:rFonts w:ascii="Times New Roman" w:hAnsi="Times New Roman" w:cs="Times New Roman"/>
          <w:b/>
          <w:i/>
        </w:rPr>
        <w:t xml:space="preserve">Keressen példákat </w:t>
      </w:r>
      <w:r w:rsidR="00135550" w:rsidRPr="00135550">
        <w:rPr>
          <w:rFonts w:ascii="Times New Roman" w:hAnsi="Times New Roman" w:cs="Times New Roman"/>
          <w:b/>
          <w:i/>
        </w:rPr>
        <w:t>a társa</w:t>
      </w:r>
      <w:r>
        <w:rPr>
          <w:rFonts w:ascii="Times New Roman" w:hAnsi="Times New Roman" w:cs="Times New Roman"/>
          <w:b/>
          <w:i/>
        </w:rPr>
        <w:t>dalmi tőke destruktív szerepére!</w:t>
      </w:r>
    </w:p>
    <w:p w14:paraId="5B1F9758" w14:textId="77777777" w:rsidR="00135550" w:rsidRDefault="00135550" w:rsidP="00135550">
      <w:pPr>
        <w:pStyle w:val="Listabekezds"/>
        <w:spacing w:line="360" w:lineRule="auto"/>
        <w:rPr>
          <w:rFonts w:ascii="Times New Roman" w:hAnsi="Times New Roman" w:cs="Times New Roman"/>
          <w:b/>
        </w:rPr>
      </w:pPr>
    </w:p>
    <w:p w14:paraId="333C1B0C" w14:textId="77777777" w:rsidR="00EB7546" w:rsidRPr="00EB7546" w:rsidRDefault="00EB7546" w:rsidP="00953DE5">
      <w:pPr>
        <w:pStyle w:val="Listabekezds"/>
        <w:numPr>
          <w:ilvl w:val="0"/>
          <w:numId w:val="3"/>
        </w:numPr>
        <w:spacing w:line="360" w:lineRule="auto"/>
        <w:rPr>
          <w:rFonts w:ascii="Times New Roman" w:hAnsi="Times New Roman" w:cs="Times New Roman"/>
          <w:b/>
        </w:rPr>
      </w:pPr>
      <w:r w:rsidRPr="00EB7546">
        <w:rPr>
          <w:rFonts w:ascii="Times New Roman" w:hAnsi="Times New Roman" w:cs="Times New Roman"/>
          <w:b/>
        </w:rPr>
        <w:t>Elméleti alapok</w:t>
      </w:r>
    </w:p>
    <w:p w14:paraId="578A80F8" w14:textId="77777777" w:rsidR="00EB7546" w:rsidRPr="00EB7546" w:rsidRDefault="00EB7546" w:rsidP="00EB7546">
      <w:pPr>
        <w:spacing w:line="360" w:lineRule="auto"/>
        <w:rPr>
          <w:rFonts w:ascii="Times New Roman" w:hAnsi="Times New Roman" w:cs="Times New Roman"/>
        </w:rPr>
      </w:pPr>
    </w:p>
    <w:p w14:paraId="77829E3B" w14:textId="79D82F71" w:rsidR="00EB7546" w:rsidRPr="00EB7546" w:rsidRDefault="00EB7546" w:rsidP="00EB7546">
      <w:pPr>
        <w:tabs>
          <w:tab w:val="left" w:pos="0"/>
        </w:tabs>
        <w:spacing w:line="360" w:lineRule="auto"/>
        <w:contextualSpacing/>
        <w:jc w:val="both"/>
        <w:rPr>
          <w:rFonts w:ascii="Times New Roman" w:hAnsi="Times New Roman" w:cs="Times New Roman"/>
        </w:rPr>
      </w:pPr>
      <w:r w:rsidRPr="00EB7546">
        <w:rPr>
          <w:rFonts w:ascii="Times New Roman" w:hAnsi="Times New Roman" w:cs="Times New Roman"/>
        </w:rPr>
        <w:t xml:space="preserve">A társadalmi tőke kérdésével régóta foglalkozik a szakirodalom. Bár implicit módon már sokkal korábban is foglalkoztak vele, legelső megjelenését Hanifan (1916) munkájához szokták  kapcsolni. Ő vidéki iskolaközösségek vizsgálata során azonosította a különféle társas interakciókat tőkeelemként. A későbbiekben is számos tudományos értekezés kapcsolódott és a mai napig kapcsolódik a társadalmi tőke, társadalmi hálózatok értelmezéseihez, vizsgálatához (Ben-Porath 1980, Putnam 1993, 1995, Bourdieu 1986, Coleman 1998, Fukuyama 2001, Woolclock–Narayan 2000, Burt 2000, Granovetter 2006). Ennek ellenére a mai napig sem sikerült egy egységes, összemérhető fogalmi keretet, terminológiát kapcsolni a társadalmi tőkéhez. Nemcsak a szociológia vagy szociálpszichológia keretein belül foglalkoznak vele, hanem ma már az üzleti és politikatudományok területén is. A különféle gazdasági, társadalmi jelenségek kapcsán a </w:t>
      </w:r>
      <w:r w:rsidRPr="00EB7546">
        <w:rPr>
          <w:rFonts w:ascii="Times New Roman" w:hAnsi="Times New Roman" w:cs="Times New Roman"/>
          <w:i/>
        </w:rPr>
        <w:t xml:space="preserve">választ </w:t>
      </w:r>
      <w:r w:rsidRPr="00EB7546">
        <w:rPr>
          <w:rFonts w:ascii="Times New Roman" w:hAnsi="Times New Roman" w:cs="Times New Roman"/>
        </w:rPr>
        <w:t xml:space="preserve">sok esetben tulajdonítják a társadalmi tőkének, azonban a </w:t>
      </w:r>
      <w:r w:rsidRPr="00EB7546">
        <w:rPr>
          <w:rFonts w:ascii="Times New Roman" w:hAnsi="Times New Roman" w:cs="Times New Roman"/>
          <w:i/>
        </w:rPr>
        <w:t xml:space="preserve">kérdés </w:t>
      </w:r>
      <w:r w:rsidRPr="00EB7546">
        <w:rPr>
          <w:rFonts w:ascii="Times New Roman" w:hAnsi="Times New Roman" w:cs="Times New Roman"/>
        </w:rPr>
        <w:t xml:space="preserve">nagyon eltérő módon, eltérő szinteken, eltérő problematika tekintetében fogalmazódik meg. </w:t>
      </w:r>
    </w:p>
    <w:p w14:paraId="3E296CB8" w14:textId="563C9460" w:rsidR="004C0F5B" w:rsidRDefault="00EB7546" w:rsidP="00EB7546">
      <w:pPr>
        <w:spacing w:line="360" w:lineRule="auto"/>
        <w:jc w:val="both"/>
        <w:rPr>
          <w:rFonts w:ascii="Times New Roman" w:eastAsia="Times New Roman" w:hAnsi="Times New Roman" w:cs="Times New Roman"/>
        </w:rPr>
      </w:pPr>
      <w:r w:rsidRPr="00EB7546">
        <w:rPr>
          <w:rFonts w:ascii="Times New Roman" w:hAnsi="Times New Roman" w:cs="Times New Roman"/>
        </w:rPr>
        <w:t xml:space="preserve">Pierre Bourdieu (1986) például a társadalmi tőkét elsősorban individuális értelemben használja, azaz főleg az egyén számára megmutatkozó előnyökkel foglalkozik, annak kulturális vagy gazdasági átváltása (rekonverziója) kapcsán. </w:t>
      </w:r>
      <w:r w:rsidRPr="00EB7546">
        <w:rPr>
          <w:rFonts w:ascii="Times New Roman" w:eastAsia="Times New Roman" w:hAnsi="Times New Roman" w:cs="Times New Roman"/>
        </w:rPr>
        <w:t xml:space="preserve">Koncepciója szerint a társadalmi tőkénk nagysága azon kapcsolatok hálójának kiterjedésétől függ, amelyeket ténylegesen mozgósítani tudunk, illetve a velünk kapcsolatban állók gazdasági és kulturális tőkéjének a nagyságától. Ezek a gyakorlatban anyagi és/vagy szimbolikus csereviszonyok alapján léteznek. Számos előnyét élvezhetjük annak, ha egy közösséghez tartozunk. Erősödik a szubjektív biztonságérzetünk, segítheti a motivációt, bizonyos előnyökhöz, javakhoz rövidebb és egyszerűbb úton juthatunk hozzá. </w:t>
      </w:r>
    </w:p>
    <w:p w14:paraId="6D15164A" w14:textId="77777777" w:rsidR="004C0F5B" w:rsidRDefault="004C0F5B" w:rsidP="00EB7546">
      <w:pPr>
        <w:spacing w:line="360" w:lineRule="auto"/>
        <w:jc w:val="both"/>
        <w:rPr>
          <w:rFonts w:ascii="Times New Roman" w:eastAsia="Times New Roman" w:hAnsi="Times New Roman" w:cs="Times New Roman"/>
        </w:rPr>
      </w:pPr>
    </w:p>
    <w:p w14:paraId="5D0518E8" w14:textId="40DA3150" w:rsidR="004C0F5B" w:rsidRPr="004C0F5B" w:rsidRDefault="004C0F5B" w:rsidP="004C0F5B">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b/>
          <w:i/>
        </w:rPr>
      </w:pPr>
      <w:r w:rsidRPr="004C0F5B">
        <w:rPr>
          <w:rFonts w:ascii="Times New Roman" w:eastAsia="Times New Roman" w:hAnsi="Times New Roman" w:cs="Times New Roman"/>
          <w:b/>
          <w:i/>
        </w:rPr>
        <w:t>KÉRDÉS</w:t>
      </w:r>
    </w:p>
    <w:p w14:paraId="27995838" w14:textId="544F892B" w:rsidR="004C0F5B" w:rsidRPr="004C0F5B" w:rsidRDefault="004C0F5B" w:rsidP="004C0F5B">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b/>
          <w:i/>
        </w:rPr>
      </w:pPr>
      <w:r w:rsidRPr="004C0F5B">
        <w:rPr>
          <w:rFonts w:ascii="Times New Roman" w:eastAsia="Times New Roman" w:hAnsi="Times New Roman" w:cs="Times New Roman"/>
          <w:b/>
          <w:i/>
        </w:rPr>
        <w:t>Ön ismer-e ilyen közösségeket? Milyen konkrét előnyökkel jár</w:t>
      </w:r>
      <w:r>
        <w:rPr>
          <w:rFonts w:ascii="Times New Roman" w:eastAsia="Times New Roman" w:hAnsi="Times New Roman" w:cs="Times New Roman"/>
          <w:b/>
          <w:i/>
        </w:rPr>
        <w:t xml:space="preserve"> az </w:t>
      </w:r>
      <w:r w:rsidRPr="004C0F5B">
        <w:rPr>
          <w:rFonts w:ascii="Times New Roman" w:eastAsia="Times New Roman" w:hAnsi="Times New Roman" w:cs="Times New Roman"/>
          <w:b/>
          <w:i/>
          <w:u w:val="single"/>
        </w:rPr>
        <w:t>egyén számára</w:t>
      </w:r>
      <w:r>
        <w:rPr>
          <w:rFonts w:ascii="Times New Roman" w:eastAsia="Times New Roman" w:hAnsi="Times New Roman" w:cs="Times New Roman"/>
          <w:b/>
          <w:i/>
          <w:u w:val="single"/>
        </w:rPr>
        <w:t>,</w:t>
      </w:r>
      <w:r>
        <w:rPr>
          <w:rFonts w:ascii="Times New Roman" w:eastAsia="Times New Roman" w:hAnsi="Times New Roman" w:cs="Times New Roman"/>
          <w:b/>
          <w:i/>
        </w:rPr>
        <w:t xml:space="preserve"> ha valaki ennek</w:t>
      </w:r>
      <w:r w:rsidRPr="004C0F5B">
        <w:rPr>
          <w:rFonts w:ascii="Times New Roman" w:eastAsia="Times New Roman" w:hAnsi="Times New Roman" w:cs="Times New Roman"/>
          <w:b/>
          <w:i/>
        </w:rPr>
        <w:t xml:space="preserve"> </w:t>
      </w:r>
      <w:r>
        <w:rPr>
          <w:rFonts w:ascii="Times New Roman" w:eastAsia="Times New Roman" w:hAnsi="Times New Roman" w:cs="Times New Roman"/>
          <w:b/>
          <w:i/>
        </w:rPr>
        <w:t xml:space="preserve">a </w:t>
      </w:r>
      <w:r w:rsidRPr="004C0F5B">
        <w:rPr>
          <w:rFonts w:ascii="Times New Roman" w:eastAsia="Times New Roman" w:hAnsi="Times New Roman" w:cs="Times New Roman"/>
          <w:b/>
          <w:i/>
        </w:rPr>
        <w:t>közösség</w:t>
      </w:r>
      <w:r>
        <w:rPr>
          <w:rFonts w:ascii="Times New Roman" w:eastAsia="Times New Roman" w:hAnsi="Times New Roman" w:cs="Times New Roman"/>
          <w:b/>
          <w:i/>
        </w:rPr>
        <w:t>nek a</w:t>
      </w:r>
      <w:r w:rsidRPr="004C0F5B">
        <w:rPr>
          <w:rFonts w:ascii="Times New Roman" w:eastAsia="Times New Roman" w:hAnsi="Times New Roman" w:cs="Times New Roman"/>
          <w:b/>
          <w:i/>
        </w:rPr>
        <w:t xml:space="preserve"> tagja?</w:t>
      </w:r>
    </w:p>
    <w:p w14:paraId="1B21A557" w14:textId="77777777" w:rsidR="004C0F5B" w:rsidRPr="00EB7546" w:rsidRDefault="004C0F5B" w:rsidP="00EB7546">
      <w:pPr>
        <w:spacing w:line="360" w:lineRule="auto"/>
        <w:jc w:val="both"/>
        <w:rPr>
          <w:rFonts w:ascii="Times New Roman" w:eastAsia="Times New Roman" w:hAnsi="Times New Roman" w:cs="Times New Roman"/>
        </w:rPr>
      </w:pPr>
    </w:p>
    <w:p w14:paraId="5391C639" w14:textId="77777777" w:rsidR="00EB7546" w:rsidRPr="00EB7546" w:rsidRDefault="00EB7546" w:rsidP="00EB7546">
      <w:pPr>
        <w:tabs>
          <w:tab w:val="left" w:pos="0"/>
        </w:tabs>
        <w:spacing w:line="360" w:lineRule="auto"/>
        <w:contextualSpacing/>
        <w:jc w:val="both"/>
        <w:rPr>
          <w:rFonts w:ascii="Times New Roman" w:hAnsi="Times New Roman" w:cs="Times New Roman"/>
        </w:rPr>
      </w:pPr>
      <w:r w:rsidRPr="00EB7546">
        <w:rPr>
          <w:rFonts w:ascii="Times New Roman" w:hAnsi="Times New Roman" w:cs="Times New Roman"/>
        </w:rPr>
        <w:tab/>
        <w:t xml:space="preserve">Coleman (1998) is elsősorban az egyén aspektusából foglalkozik a társadalmi tőkével, fő működési motorjaként a kötelezettség/elvárást, információáramlást és informális társadalmi normákat határozza meg. Coleman úgy véli, hogy a társadalmi tőkének társadalmi-strukturális szerepe van, amely struktúra létrejötte és aktív működése a bennük létező egyének és különféle cselekvő intézmények számára jelent erőforrást. Itt már a társadalmi tőke nemcsak magánjószágként jelenik meg (mint Bourdieu esetében), hanem megjelenik annak közjószág szerepe is, hiszen erőforrást nemcsak azok számára jelenthet, akik annak létrehozásában közreműködtek, hanem azok számára is, akik a struktúrának a részei (Kisfalusi 2013). </w:t>
      </w:r>
    </w:p>
    <w:p w14:paraId="79F36A87" w14:textId="3D8C2106" w:rsidR="004C0F5B" w:rsidRDefault="00EB7546" w:rsidP="00EB7546">
      <w:pPr>
        <w:tabs>
          <w:tab w:val="left" w:pos="0"/>
        </w:tabs>
        <w:spacing w:line="360" w:lineRule="auto"/>
        <w:contextualSpacing/>
        <w:jc w:val="both"/>
        <w:rPr>
          <w:rFonts w:ascii="Times New Roman" w:hAnsi="Times New Roman" w:cs="Times New Roman"/>
        </w:rPr>
      </w:pPr>
      <w:r w:rsidRPr="00EB7546">
        <w:rPr>
          <w:rFonts w:ascii="Times New Roman" w:hAnsi="Times New Roman" w:cs="Times New Roman"/>
        </w:rPr>
        <w:tab/>
        <w:t>A gazdaságfejlesztésben és a politikai döntéseket megelőző stratégiai tervezésben elsősorban azokat az elméleteket veszik alapul, ahol a társadalmi tőke, mint közjószág funkcionál. Közösségi szinten a társadalmi tőke alatt általában olyan erőforrásokat értenek, amelyek egy csoporthoz való tartozáson alapulnak.</w:t>
      </w:r>
      <w:r w:rsidRPr="00EB7546">
        <w:rPr>
          <w:rFonts w:ascii="Times New Roman" w:hAnsi="Times New Roman" w:cs="Times New Roman"/>
        </w:rPr>
        <w:tab/>
        <w:t xml:space="preserve"> A működő közösségek, amennyiben társadalmi szinten is beágyazódnak, sokkal hatékonyabban képesek közös cselekvésekben való részvételre saját életfeltételeik javítása céljából. Ezáltal saját specifikus problémáikra is adekvát válaszokat képesek adni (Vercseg 2011). Putnam (1995) is úgy véli, hogy a társadalmi tőke egy kollektív ismérv, amely tulajdonképpen a csoportok problémamegoldó potenciálja. Fukuyama (2001), is elsősorban magasabb aggregációs szinten tulajdonít jelentőséget a társadalmi tőkének. Ezek megléte majd mozgósítása, frissebb tanulmányok szerint átváltása (Boon – Farnsworth 2011) a kulcsmotívum. </w:t>
      </w:r>
      <w:r w:rsidR="0008536A" w:rsidRPr="00EB7546">
        <w:rPr>
          <w:rFonts w:ascii="Times New Roman" w:hAnsi="Times New Roman" w:cs="Times New Roman"/>
        </w:rPr>
        <w:t>Mindezek mellett hangsúlyozza a mozgósított társadalmi tőke konstruktív és destruktív szerepét is például az integráció vonatkozásában.</w:t>
      </w:r>
    </w:p>
    <w:p w14:paraId="780F64A0" w14:textId="77777777" w:rsidR="001D46E5" w:rsidRDefault="001D46E5" w:rsidP="00EB7546">
      <w:pPr>
        <w:tabs>
          <w:tab w:val="left" w:pos="0"/>
        </w:tabs>
        <w:spacing w:line="360" w:lineRule="auto"/>
        <w:contextualSpacing/>
        <w:jc w:val="both"/>
        <w:rPr>
          <w:rFonts w:ascii="Times New Roman" w:hAnsi="Times New Roman" w:cs="Times New Roman"/>
        </w:rPr>
      </w:pPr>
    </w:p>
    <w:p w14:paraId="42860725" w14:textId="3463E9DC" w:rsidR="001D46E5" w:rsidRPr="001D46E5" w:rsidRDefault="001D46E5" w:rsidP="00EB7546">
      <w:pPr>
        <w:tabs>
          <w:tab w:val="left" w:pos="0"/>
        </w:tabs>
        <w:spacing w:line="360" w:lineRule="auto"/>
        <w:contextualSpacing/>
        <w:jc w:val="both"/>
        <w:rPr>
          <w:rFonts w:ascii="Times New Roman" w:hAnsi="Times New Roman" w:cs="Times New Roman"/>
          <w:i/>
        </w:rPr>
      </w:pPr>
      <w:r w:rsidRPr="001D46E5">
        <w:rPr>
          <w:rFonts w:ascii="Times New Roman" w:hAnsi="Times New Roman" w:cs="Times New Roman"/>
          <w:i/>
        </w:rPr>
        <w:t xml:space="preserve">A tőketípusok oda-vissza konvertálhatók, amely fontos kulcsmotívum. A fenti tanulmány példaként hozza föl, hogy azok a szülők, akik nem tudták kifizetni gyerekeiknek a különórákat, vagy nem engedték őket el születésnapi összejövetelekre, mert nem tudtak az ünnepeltnek megfelelő ajándékot vásárolni, elszeparálódtak a közösségtől és olyan fontos erőforrásoktól estek el, mint például a gyerekek ingyenes felügyelete, amíg a szülő túlórázik. Ez további deficithez vezetett gazdasági tőkéjük tekintetében, ezzel körkörösen elzárva őket a társadalmi tőkéjük gyarapításától is. </w:t>
      </w:r>
    </w:p>
    <w:p w14:paraId="57C179A1" w14:textId="77777777" w:rsidR="001D46E5" w:rsidRDefault="001D46E5" w:rsidP="00EB7546">
      <w:pPr>
        <w:tabs>
          <w:tab w:val="left" w:pos="0"/>
        </w:tabs>
        <w:spacing w:line="360" w:lineRule="auto"/>
        <w:contextualSpacing/>
        <w:jc w:val="both"/>
        <w:rPr>
          <w:rFonts w:ascii="Times New Roman" w:hAnsi="Times New Roman" w:cs="Times New Roman"/>
        </w:rPr>
      </w:pPr>
    </w:p>
    <w:p w14:paraId="5FC01C00" w14:textId="031D1E04" w:rsidR="00EB7546" w:rsidRDefault="00EB7546" w:rsidP="001D46E5">
      <w:pPr>
        <w:tabs>
          <w:tab w:val="left" w:pos="0"/>
        </w:tabs>
        <w:spacing w:line="360" w:lineRule="auto"/>
        <w:contextualSpacing/>
        <w:jc w:val="both"/>
        <w:rPr>
          <w:rFonts w:ascii="Times New Roman" w:hAnsi="Times New Roman" w:cs="Times New Roman"/>
        </w:rPr>
      </w:pPr>
      <w:r w:rsidRPr="00EB7546">
        <w:rPr>
          <w:rFonts w:ascii="Times New Roman" w:hAnsi="Times New Roman" w:cs="Times New Roman"/>
        </w:rPr>
        <w:tab/>
        <w:t xml:space="preserve"> A társadalmi tőke szerepe egyértelműen felerősödött a gyakorlati fejlesztésekben, azonban ezzel párhuzamosan ennek bírálata is megjelent. Ahogy azt láthattuk, a társadalmi tőke egy nehezen megfogható, körülírható, ám annál nagyobb jelentőséggel bíró tényező a gazdaságfejlesztésben (is), épp emiatt egyes kritikusok szerint ezek „policy-orientált” alkalmazása lazán kezelt, és olcsó megoldásként alkalmazott olyan súlyos problémák enyhítése vonatkozásában, mint például a szegénység (Füzér et al. 2005). </w:t>
      </w:r>
    </w:p>
    <w:p w14:paraId="4D16BBDA" w14:textId="5AD57498" w:rsidR="00FE6B4C" w:rsidRPr="00EB7546" w:rsidRDefault="00FE6B4C" w:rsidP="001D46E5">
      <w:pPr>
        <w:tabs>
          <w:tab w:val="left" w:pos="0"/>
        </w:tabs>
        <w:spacing w:line="360" w:lineRule="auto"/>
        <w:contextualSpacing/>
        <w:jc w:val="both"/>
        <w:rPr>
          <w:rFonts w:ascii="Times New Roman" w:hAnsi="Times New Roman" w:cs="Times New Roman"/>
        </w:rPr>
      </w:pPr>
      <w:r>
        <w:rPr>
          <w:rFonts w:ascii="Times New Roman" w:hAnsi="Times New Roman" w:cs="Times New Roman"/>
        </w:rPr>
        <w:tab/>
        <w:t>Az előző fejezetben</w:t>
      </w:r>
      <w:r w:rsidR="00EF7930">
        <w:rPr>
          <w:rFonts w:ascii="Times New Roman" w:hAnsi="Times New Roman" w:cs="Times New Roman"/>
        </w:rPr>
        <w:t xml:space="preserve"> említett Granovetter</w:t>
      </w:r>
      <w:r w:rsidR="00BA51BC">
        <w:rPr>
          <w:rFonts w:ascii="Times New Roman" w:hAnsi="Times New Roman" w:cs="Times New Roman"/>
        </w:rPr>
        <w:t xml:space="preserve"> (1973)</w:t>
      </w:r>
      <w:r w:rsidR="00EF7930">
        <w:rPr>
          <w:rFonts w:ascii="Times New Roman" w:hAnsi="Times New Roman" w:cs="Times New Roman"/>
        </w:rPr>
        <w:t xml:space="preserve"> is kiemelt szerepet tulajdonít a társadalmi tőkének, azonban ő a társadalmi tőke kifejezés helyett az </w:t>
      </w:r>
      <w:r w:rsidR="00EF7930" w:rsidRPr="00EF7930">
        <w:rPr>
          <w:rFonts w:ascii="Times New Roman" w:hAnsi="Times New Roman" w:cs="Times New Roman"/>
          <w:b/>
        </w:rPr>
        <w:t>erős kötések</w:t>
      </w:r>
      <w:r w:rsidR="00EF7930">
        <w:rPr>
          <w:rFonts w:ascii="Times New Roman" w:hAnsi="Times New Roman" w:cs="Times New Roman"/>
        </w:rPr>
        <w:t xml:space="preserve">, illetve </w:t>
      </w:r>
      <w:r w:rsidR="00EF7930" w:rsidRPr="00EF7930">
        <w:rPr>
          <w:rFonts w:ascii="Times New Roman" w:hAnsi="Times New Roman" w:cs="Times New Roman"/>
          <w:b/>
        </w:rPr>
        <w:t>gyenge kötések</w:t>
      </w:r>
      <w:r w:rsidR="00EF7930">
        <w:rPr>
          <w:rFonts w:ascii="Times New Roman" w:hAnsi="Times New Roman" w:cs="Times New Roman"/>
        </w:rPr>
        <w:t xml:space="preserve"> (strong and weak ties) kifejezést használja.</w:t>
      </w:r>
      <w:r>
        <w:rPr>
          <w:rFonts w:ascii="Times New Roman" w:hAnsi="Times New Roman" w:cs="Times New Roman"/>
        </w:rPr>
        <w:t xml:space="preserve"> </w:t>
      </w:r>
      <w:r w:rsidRPr="00FE6B4C">
        <w:rPr>
          <w:rFonts w:ascii="Times New Roman" w:hAnsi="Times New Roman" w:cs="Times New Roman"/>
          <w:color w:val="222222"/>
          <w:lang w:eastAsia="hu-HU"/>
        </w:rPr>
        <w:t xml:space="preserve">A Garnovetteri társadalmi tőke koncepció a szociometriai és antropológiai hagyományban gyökerezik, és megállapítja, hogy a kapcsolatokból kinyerhető erőforrás mennyisége és minősége nagyban függ a kapcsolatháló szerkezetétől. </w:t>
      </w:r>
      <w:r>
        <w:rPr>
          <w:rFonts w:ascii="Times New Roman" w:hAnsi="Times New Roman" w:cs="Times New Roman"/>
          <w:color w:val="222222"/>
          <w:lang w:eastAsia="hu-HU"/>
        </w:rPr>
        <w:t>Az emberek</w:t>
      </w:r>
      <w:r w:rsidRPr="00FE6B4C">
        <w:rPr>
          <w:rFonts w:ascii="Times New Roman" w:hAnsi="Times New Roman" w:cs="Times New Roman"/>
          <w:color w:val="222222"/>
          <w:lang w:eastAsia="hu-HU"/>
        </w:rPr>
        <w:t xml:space="preserve"> közötti kötés erősségét az azt jellemző érzelmi töltés, és a rá fordított idő határozza meg. Megállapítja</w:t>
      </w:r>
      <w:r>
        <w:rPr>
          <w:rFonts w:ascii="Times New Roman" w:hAnsi="Times New Roman" w:cs="Times New Roman"/>
          <w:color w:val="222222"/>
          <w:lang w:eastAsia="hu-HU"/>
        </w:rPr>
        <w:t>, hogy az egyént körülvevő közösség (barátok, család, vallási közösség stb.)</w:t>
      </w:r>
      <w:r w:rsidRPr="00FE6B4C">
        <w:rPr>
          <w:rFonts w:ascii="Times New Roman" w:hAnsi="Times New Roman" w:cs="Times New Roman"/>
          <w:color w:val="222222"/>
          <w:lang w:eastAsia="hu-HU"/>
        </w:rPr>
        <w:t xml:space="preserve"> szoros kötésekkel kapcsolódik a</w:t>
      </w:r>
      <w:r>
        <w:rPr>
          <w:rFonts w:ascii="Times New Roman" w:hAnsi="Times New Roman" w:cs="Times New Roman"/>
          <w:color w:val="222222"/>
          <w:lang w:eastAsia="hu-HU"/>
        </w:rPr>
        <w:t>z egyénhez</w:t>
      </w:r>
      <w:r w:rsidRPr="00FE6B4C">
        <w:rPr>
          <w:rFonts w:ascii="Times New Roman" w:hAnsi="Times New Roman" w:cs="Times New Roman"/>
          <w:color w:val="222222"/>
          <w:lang w:eastAsia="hu-HU"/>
        </w:rPr>
        <w:t xml:space="preserve"> és a kapcsolatoknak ebben a rendszerében a tranzitivitás szabálya az iránymutató, azaz nagy valószínűséggel, ha A barátja B-nek, és B barátja C-nek, akkor A barátja C-nek. Ebből az is következik, hogy minél s</w:t>
      </w:r>
      <w:r>
        <w:rPr>
          <w:rFonts w:ascii="Times New Roman" w:hAnsi="Times New Roman" w:cs="Times New Roman"/>
          <w:color w:val="222222"/>
          <w:lang w:eastAsia="hu-HU"/>
        </w:rPr>
        <w:t>zorosabb kapcsolat van két ember</w:t>
      </w:r>
      <w:r w:rsidRPr="00FE6B4C">
        <w:rPr>
          <w:rFonts w:ascii="Times New Roman" w:hAnsi="Times New Roman" w:cs="Times New Roman"/>
          <w:color w:val="222222"/>
          <w:lang w:eastAsia="hu-HU"/>
        </w:rPr>
        <w:t xml:space="preserve"> között annál nagyobb mértékben fog a két személy baráti köre egybe esni. A gyenge kötéseket ezzel szemben alacsony érzelmi intenzitás és alacsony idő ráfordítás jellemzi, a tranzitivitás követelménye pedig nem áll fent. Az ilyen gyenge kötések gyakran nyúlnak a csoporton kívülre: ezek a messzebbre nyúló gyenge kötések gyakran szolgálnak hídként, nemcsak az ego és ismerőse között, de raj</w:t>
      </w:r>
      <w:r>
        <w:rPr>
          <w:rFonts w:ascii="Times New Roman" w:hAnsi="Times New Roman" w:cs="Times New Roman"/>
          <w:color w:val="222222"/>
          <w:lang w:eastAsia="hu-HU"/>
        </w:rPr>
        <w:t>tuk keresztül az őket körülölelő</w:t>
      </w:r>
      <w:r w:rsidRPr="00FE6B4C">
        <w:rPr>
          <w:rFonts w:ascii="Times New Roman" w:hAnsi="Times New Roman" w:cs="Times New Roman"/>
          <w:color w:val="222222"/>
          <w:lang w:eastAsia="hu-HU"/>
        </w:rPr>
        <w:t xml:space="preserve"> közeli barátok hálója között. Granovetter kimutatja, hogy ez utóbbi típusba tartozó nexusok fontos szerepet töltenek be az egyén és a társadalom működésében. A gyenge kötések tehát hozzásegítik az egyént, hogy a saját környezetének kapacitásán túlmutató erőforrásokhoz is h</w:t>
      </w:r>
      <w:r>
        <w:rPr>
          <w:rFonts w:ascii="Times New Roman" w:hAnsi="Times New Roman" w:cs="Times New Roman"/>
          <w:color w:val="222222"/>
          <w:lang w:eastAsia="hu-HU"/>
        </w:rPr>
        <w:t>ozzáférjen. Azok az indivi</w:t>
      </w:r>
      <w:r w:rsidRPr="00FE6B4C">
        <w:rPr>
          <w:rFonts w:ascii="Times New Roman" w:hAnsi="Times New Roman" w:cs="Times New Roman"/>
          <w:color w:val="222222"/>
          <w:lang w:eastAsia="hu-HU"/>
        </w:rPr>
        <w:t>du</w:t>
      </w:r>
      <w:r>
        <w:rPr>
          <w:rFonts w:ascii="Times New Roman" w:hAnsi="Times New Roman" w:cs="Times New Roman"/>
          <w:color w:val="222222"/>
          <w:lang w:eastAsia="hu-HU"/>
        </w:rPr>
        <w:t>u</w:t>
      </w:r>
      <w:r w:rsidRPr="00FE6B4C">
        <w:rPr>
          <w:rFonts w:ascii="Times New Roman" w:hAnsi="Times New Roman" w:cs="Times New Roman"/>
          <w:color w:val="222222"/>
          <w:lang w:eastAsia="hu-HU"/>
        </w:rPr>
        <w:t>mok, melyek híján vannak a gyenge kötéseknek, saját közegük provinciális nézeteit és redundáns híreit fogják csak meghallani, és megfosztják magukat a társadalmi rendszer távoli szegleteiből áramló információtól. Granovetter elméletének empirikus tesztelése során bebizonyítja, hogy munkalehetőségekről sokkal hatékonyabban értesülünk a gyenge kötéseinken keresztül. Érvelése makro szinten is értelmezhető, Granovetter leszögezi, hogy a társadalom, amiben hiányoznak a gyenge kötések az információ lassan terjed, a faji, vallási, geográfiai és egyéb alapokon létrejövő társadalmi csoportok között megnehezül a kommunikáció: a társadalom töredezik.</w:t>
      </w:r>
    </w:p>
    <w:p w14:paraId="67FF18CB" w14:textId="77777777" w:rsidR="00EB7546" w:rsidRPr="00EB7546" w:rsidRDefault="00EB7546" w:rsidP="00EB7546">
      <w:pPr>
        <w:spacing w:line="360" w:lineRule="auto"/>
        <w:rPr>
          <w:rFonts w:ascii="Times New Roman" w:hAnsi="Times New Roman" w:cs="Times New Roman"/>
        </w:rPr>
      </w:pPr>
    </w:p>
    <w:p w14:paraId="4E5F8405" w14:textId="4F736D9B" w:rsidR="00EB7546" w:rsidRPr="001D46E5" w:rsidRDefault="00EB7546" w:rsidP="001D46E5">
      <w:pPr>
        <w:pStyle w:val="Listabekezds"/>
        <w:numPr>
          <w:ilvl w:val="0"/>
          <w:numId w:val="3"/>
        </w:numPr>
        <w:spacing w:line="360" w:lineRule="auto"/>
        <w:rPr>
          <w:rFonts w:ascii="Times New Roman" w:hAnsi="Times New Roman" w:cs="Times New Roman"/>
        </w:rPr>
      </w:pPr>
      <w:r w:rsidRPr="001D46E5">
        <w:rPr>
          <w:rFonts w:ascii="Times New Roman" w:hAnsi="Times New Roman" w:cs="Times New Roman"/>
          <w:b/>
        </w:rPr>
        <w:t>A társadalmi tőke szakirodalmának kritikai rendezése</w:t>
      </w:r>
    </w:p>
    <w:p w14:paraId="41589419" w14:textId="77777777" w:rsidR="00EB7546" w:rsidRPr="00EB7546" w:rsidRDefault="00EB7546" w:rsidP="00EB7546">
      <w:pPr>
        <w:pStyle w:val="Listabekezds"/>
        <w:spacing w:line="360" w:lineRule="auto"/>
        <w:ind w:left="1060"/>
        <w:rPr>
          <w:rFonts w:ascii="Times New Roman" w:hAnsi="Times New Roman" w:cs="Times New Roman"/>
          <w:b/>
        </w:rPr>
      </w:pPr>
    </w:p>
    <w:p w14:paraId="7E366C94" w14:textId="77777777" w:rsidR="00EB7546" w:rsidRPr="00EB7546" w:rsidRDefault="00EB7546" w:rsidP="00EB7546">
      <w:pPr>
        <w:spacing w:line="360" w:lineRule="auto"/>
        <w:ind w:firstLine="700"/>
        <w:jc w:val="both"/>
        <w:rPr>
          <w:rFonts w:ascii="Times New Roman" w:hAnsi="Times New Roman" w:cs="Times New Roman"/>
        </w:rPr>
      </w:pPr>
      <w:r w:rsidRPr="00EB7546">
        <w:rPr>
          <w:rFonts w:ascii="Times New Roman" w:hAnsi="Times New Roman" w:cs="Times New Roman"/>
        </w:rPr>
        <w:t xml:space="preserve">A társadalmi tőkéhez kapcsolódó szakirodalom különösképpen heterogén, értelmezései sok esetben eltérhetnek.  Mindezek mellett egyre nagyobb jelentőséggel bír, egyre több munka jelenik meg a társadalmi tőke vonatkozásában. </w:t>
      </w:r>
    </w:p>
    <w:p w14:paraId="08AE3166" w14:textId="42B08803" w:rsidR="00EB7546" w:rsidRPr="00EB7546" w:rsidRDefault="00135550" w:rsidP="00EB7546">
      <w:pPr>
        <w:widowControl w:val="0"/>
        <w:autoSpaceDE w:val="0"/>
        <w:autoSpaceDN w:val="0"/>
        <w:adjustRightInd w:val="0"/>
        <w:spacing w:line="360" w:lineRule="auto"/>
        <w:ind w:firstLine="708"/>
        <w:jc w:val="both"/>
        <w:rPr>
          <w:rFonts w:ascii="Times New Roman" w:hAnsi="Times New Roman" w:cs="Times New Roman"/>
        </w:rPr>
      </w:pPr>
      <w:r>
        <w:rPr>
          <w:rFonts w:ascii="Times New Roman" w:hAnsi="Times New Roman" w:cs="Times New Roman"/>
        </w:rPr>
        <w:t xml:space="preserve">Ezeknek </w:t>
      </w:r>
      <w:r w:rsidR="00EB7546" w:rsidRPr="00EB7546">
        <w:rPr>
          <w:rFonts w:ascii="Times New Roman" w:hAnsi="Times New Roman" w:cs="Times New Roman"/>
        </w:rPr>
        <w:t>az elméletek a rendezésére többen is kísérletet tettek (Esser 2008, Csizmadia 2015, Sík 2012, Farkas 2013). Ebben a fejezetben ezeket alapul véve szeretné</w:t>
      </w:r>
      <w:r>
        <w:rPr>
          <w:rFonts w:ascii="Times New Roman" w:hAnsi="Times New Roman" w:cs="Times New Roman"/>
        </w:rPr>
        <w:t>n</w:t>
      </w:r>
      <w:r w:rsidR="00EB7546" w:rsidRPr="00EB7546">
        <w:rPr>
          <w:rFonts w:ascii="Times New Roman" w:hAnsi="Times New Roman" w:cs="Times New Roman"/>
        </w:rPr>
        <w:t xml:space="preserve">k rávilágítani a társadalmi tőke szakirodalmának szerteágazóságára, rendezésükhöz kötődő dilemmákra. A társadalmi tőke elnevezése sem egységes, a társadalmi tőke helyett olykor a kapcsolati tőke (Sík 2012), társadalmi erőforrás (Lin 1999), gyenge és erős kötések (Granovetter 1973) hálózat (Burt 2000) kifejezések jelennek meg. </w:t>
      </w:r>
    </w:p>
    <w:p w14:paraId="1DA9C676" w14:textId="77777777" w:rsidR="00EB7546" w:rsidRPr="00EB7546" w:rsidRDefault="00EB7546" w:rsidP="00EB7546">
      <w:pPr>
        <w:widowControl w:val="0"/>
        <w:autoSpaceDE w:val="0"/>
        <w:autoSpaceDN w:val="0"/>
        <w:adjustRightInd w:val="0"/>
        <w:spacing w:line="360" w:lineRule="auto"/>
        <w:ind w:firstLine="708"/>
        <w:jc w:val="both"/>
        <w:rPr>
          <w:rFonts w:ascii="Times New Roman" w:hAnsi="Times New Roman" w:cs="Times New Roman"/>
        </w:rPr>
      </w:pPr>
      <w:r w:rsidRPr="00EB7546">
        <w:rPr>
          <w:rFonts w:ascii="Times New Roman" w:hAnsi="Times New Roman" w:cs="Times New Roman"/>
        </w:rPr>
        <w:t xml:space="preserve">Csizmdia (2015) és Kisfalusi (2013) Harmut Esser (2008) társadalmi tőke megközelítése mellett érvel. A szerző szerint a társadalmi tőke fogalma körüli zűrzavar elsősorban abból a tényből következik, hogy egy olyan erőforrásként gondolunk rá, amely egyszerre tekinthető magán és közjószágnak. Sok esetben egyszerre van jelen az individuális és kollektív értelmezés, amely önellentmondást, értelmezési nehézségeket eredményez. Esser ennek orvoslásaképp a szintek külön értelmezését javasolja, melyben a társadalmi tőke egyik aspektusaként jelenik meg a kapcsolati tőke. A társadalmi tőkét úgy írja le, mint a „viszony alapú” kapcsolati tőke és a „rendszer alapú” hálózati tőke egyfajta komplex egységét. Ezekben együttesen szerepel az individuális szinten megjelenő, különféle társas kapcsolatokon keresztül működő társadalmi erőforrás, valamint a hálózatok konstruktív jellege, amely adott esetben képes annak minden tagja számára speciális előnyöket biztosítani. (Ezt a kétdimenziós megközelítést tovább finomítja, amikor ezeken belül további altípusokat különböztet meg, ami eredményeként a társadalmi tőke hat különböző egyéni vagy kollektív szinten értelmezhető erőforrásként jelenik meg.) </w:t>
      </w:r>
    </w:p>
    <w:p w14:paraId="152F5D62"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A kapcsolódó szakirodalomban a rendezésre tett kísérletek (ahogy a fenti érvelés is) gyakran tekintik kiinduló alapnak a társadalmi és individuális szinteket (Farkas 2013). Az egyének oldaláról vizsgálódva a cselekvő individuumok és cselekvéseik egyéni következményinek megértésén keresztül vállalkoznak a társadalmi tőkéhez kapcsolódó mechanizmusok magyarázatára (Bourdieu 1986, Coleman 1998, Burt 2000), míg más tanulmányok a társadalmi csoportok működésére, azok hatékonyságára fókuszálnak a társadalmi tőke fogalmán keresztül (Putnam 1993, Putnam 1995, Fukuyama 2001, Vercseg 2011).</w:t>
      </w:r>
    </w:p>
    <w:p w14:paraId="551E3B23"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Sík (2012) szerint a társadalmi tőke definiálása még meglehetősen gyerekcipőben jár. Különösképp megnehezíti a fogalom értelmezését, hogy azok a nagy elméleti előfeltevések, klasszikusok által „terhelten” jelennek meg. A szerző ezt alapul véve érvel a mellett a megközelítés mellet, hogy a társadalmi tőke megnevezés helyett sokkal célravezetőbb lehet a „kapcsolati tőke” vagy „kapcsolathálózati erőforrás” megnevezés. Ha visszakanyarodunk a társadalmi tőke fogalmához, a klasszikusokat (Bourdieu, Coleman, Putnam) ez az összesítés is az individuális/társadalmi dimenziók mentén rendezi. Azonban a újabb „születőfélben” levő elméletek esetében már a „társadalmi tőke” viszonylagos elnevezését tartja ezek legnagyobb erősségének. Ezt teszi egyrészt azért, mert a „tőke” pozitív zöngéje nem minden esetben indokolt. Fukuyama (2001) ezek árnyoldalára is rávilágít, mivel sok olyan társadalmilag káros jelenség előidézőjeként mutatkozhat meg, mint például a törzsi háborúk, a korrupció vagy bizonyos csoportok társadalmi kirekesztése.</w:t>
      </w:r>
      <w:r w:rsidRPr="00EB7546">
        <w:rPr>
          <w:rStyle w:val="Lbjegyzet-hivatkozs"/>
          <w:rFonts w:ascii="Times New Roman" w:hAnsi="Times New Roman" w:cs="Times New Roman"/>
        </w:rPr>
        <w:footnoteReference w:id="1"/>
      </w:r>
      <w:r w:rsidRPr="00EB7546">
        <w:rPr>
          <w:rFonts w:ascii="Times New Roman" w:hAnsi="Times New Roman" w:cs="Times New Roman"/>
        </w:rPr>
        <w:t xml:space="preserve"> </w:t>
      </w:r>
    </w:p>
    <w:p w14:paraId="03CF92F2"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Nan Lin (2001) a társadalmi tőkét emberitőke-elméletekhez viszonyítja, amely megközelítés kapcsán külön tárgyalja az egyéni kapcsolatokat és a különféle csoportokat, közösségeket. Amikor csoportokat vizsgál, akkor azok tőke-jellegén keresztül teszi azt meg, fő kiindulási alapja nem azok konstruktivista jellege.</w:t>
      </w:r>
    </w:p>
    <w:p w14:paraId="4D45109A"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Burt (2000) a társadalmi tőkét hálózatok vizsgálatán keresztül igyekszik megérteni.  A társadalmi tőkét, mint társadalmi helyzetből fakadó előny tényét metaforaként értelmezi (Sík 2012).</w:t>
      </w:r>
    </w:p>
    <w:p w14:paraId="6D9AB0BF"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 xml:space="preserve">Látható, hogy a társadalmi tőke még nem kiforrott fogalomként van jelen a társadalomtudományokban. Emellett az egyre terjedő kapcsolódó szakirodalom arra enged következtetni, hogy annak relevanciája a fogalom tisztázatlansága ellenére is egyre elterjedtebb. Ez a relevancia mára, ahogy azt az első fejezetben láthattuk, normatív szerepben a szociológia mellett a gazdaságtudományok, gazdaságfejlesztés, gazdaságpolitika színterén is megjelent. Kritikai értelmezése épp emiatt különösképpen fontos lehet, hiszen esetenként politikai döntések alapjakén, adott esetben legitimálásaként szerepelnek a társadalmi tőkéhez kapcsolódó különféle értelmezések. </w:t>
      </w:r>
    </w:p>
    <w:p w14:paraId="627B7031"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 xml:space="preserve">A kritikai megközelítések egyik vonulata épp a társadalmi tőke fogalomrendszerének kiforratlanságát említik. Ezek szerint ugyan nagyok a fogalmomban rejlő lehetőségek, mégis könnyű visszaélni vele, bizonytalan a jövője. További kritikaként említik meg, hogy mivel a társadalmi tőke fogalomértéke és annak számos jellemzője hasznos a társdalomtudományok számára emiatt a módszertani individualizmustól eltávolodva mintegy kényszerként gyakorta fordulnak az intézményi szintű elemzések felé (Sík 2012). </w:t>
      </w:r>
    </w:p>
    <w:p w14:paraId="348BFBB7" w14:textId="77777777" w:rsidR="00EB7546" w:rsidRPr="00EB7546" w:rsidRDefault="00EB7546" w:rsidP="00EB7546">
      <w:pPr>
        <w:spacing w:line="360" w:lineRule="auto"/>
        <w:ind w:firstLine="708"/>
        <w:jc w:val="both"/>
        <w:rPr>
          <w:rFonts w:ascii="Times New Roman" w:hAnsi="Times New Roman" w:cs="Times New Roman"/>
        </w:rPr>
      </w:pPr>
      <w:r w:rsidRPr="00EB7546">
        <w:rPr>
          <w:rFonts w:ascii="Times New Roman" w:hAnsi="Times New Roman" w:cs="Times New Roman"/>
        </w:rPr>
        <w:t xml:space="preserve">Más megközelítések a társadalmi tőke olyan összetevőihez, mint a bizalom, norma, hálózat vagy civil tevékenység kapcsolódó bizonytalanságot róják föl. Emiatt a bizonytalanság miatt megfoghatatlanná válik a fogalom, és ennek következtében ezek időbeli vagy területi összehasonlítása is különösképpen nehézkessé válik.  </w:t>
      </w:r>
    </w:p>
    <w:p w14:paraId="4B19CA71" w14:textId="5C00DADD" w:rsidR="00EB7546" w:rsidRDefault="00EB7546" w:rsidP="004B7D36">
      <w:pPr>
        <w:spacing w:line="360" w:lineRule="auto"/>
        <w:jc w:val="both"/>
        <w:rPr>
          <w:rFonts w:ascii="Times New Roman" w:hAnsi="Times New Roman" w:cs="Times New Roman"/>
        </w:rPr>
      </w:pPr>
      <w:r w:rsidRPr="00EB7546">
        <w:rPr>
          <w:rFonts w:ascii="Times New Roman" w:hAnsi="Times New Roman" w:cs="Times New Roman"/>
        </w:rPr>
        <w:tab/>
        <w:t>Problematikus lehet, hogy a különféle társadalmi tőke elméletek alkotói gyakran tévesztik szem elől annak mélyebb beágyazottságát, és értelmezik azt egy statikus tényezőként, holott gyakran a társadalmi tőkéhez kapcsolódó „sokszálú” folyamatok kulturális meghatározottsága is időben döntő lehet, emiatt eltérő mechanizmusok (dinamizmusok) jelentkezhetnek közösségenként, szubkultúránkként, így a társadalmi tőke fejlesztéséhez kapcsolódó megfelelő lépések is eltérőek lehetnek.</w:t>
      </w:r>
      <w:r w:rsidR="004B7D36">
        <w:rPr>
          <w:rFonts w:ascii="Times New Roman" w:hAnsi="Times New Roman" w:cs="Times New Roman"/>
        </w:rPr>
        <w:t xml:space="preserve"> </w:t>
      </w:r>
    </w:p>
    <w:p w14:paraId="572F94B1" w14:textId="77777777" w:rsidR="00135550" w:rsidRDefault="00135550" w:rsidP="00EB7546">
      <w:pPr>
        <w:spacing w:line="360" w:lineRule="auto"/>
        <w:jc w:val="both"/>
        <w:rPr>
          <w:rFonts w:ascii="Times New Roman" w:hAnsi="Times New Roman" w:cs="Times New Roman"/>
        </w:rPr>
      </w:pPr>
    </w:p>
    <w:p w14:paraId="166D6A49" w14:textId="27D92BB4" w:rsidR="0016093A" w:rsidRDefault="00135550" w:rsidP="00EB7546">
      <w:pPr>
        <w:spacing w:line="360" w:lineRule="auto"/>
        <w:jc w:val="both"/>
        <w:rPr>
          <w:rFonts w:ascii="Times New Roman" w:hAnsi="Times New Roman" w:cs="Times New Roman"/>
        </w:rPr>
      </w:pPr>
      <w:r>
        <w:rPr>
          <w:rFonts w:ascii="Times New Roman" w:hAnsi="Times New Roman" w:cs="Times New Roman"/>
        </w:rPr>
        <w:t>Ennek a tantárgynak a keretein belül természetesen nem cél ezeknek a tanulmányoknak, nézőpontoknak a részletes ismertetése, ez a</w:t>
      </w:r>
      <w:r w:rsidR="00EF7930">
        <w:rPr>
          <w:rFonts w:ascii="Times New Roman" w:hAnsi="Times New Roman" w:cs="Times New Roman"/>
        </w:rPr>
        <w:t xml:space="preserve"> fejezet csupán egy</w:t>
      </w:r>
      <w:r>
        <w:rPr>
          <w:rFonts w:ascii="Times New Roman" w:hAnsi="Times New Roman" w:cs="Times New Roman"/>
        </w:rPr>
        <w:t xml:space="preserve"> rövid betekintést adott a társadalmi tőke különfél</w:t>
      </w:r>
      <w:r w:rsidR="004B7D36">
        <w:rPr>
          <w:rFonts w:ascii="Times New Roman" w:hAnsi="Times New Roman" w:cs="Times New Roman"/>
        </w:rPr>
        <w:t>e koncepcióinak és annak szerteágazó értelmezésének vonatkozásában.</w:t>
      </w:r>
    </w:p>
    <w:p w14:paraId="3A6692E4" w14:textId="0C1E126B" w:rsidR="009B7DEB" w:rsidRPr="00EB7546" w:rsidRDefault="009B7DEB" w:rsidP="00EB7546">
      <w:pPr>
        <w:spacing w:line="360" w:lineRule="auto"/>
        <w:jc w:val="both"/>
        <w:rPr>
          <w:rFonts w:ascii="Times New Roman" w:hAnsi="Times New Roman" w:cs="Times New Roman"/>
        </w:rPr>
      </w:pPr>
      <w:r w:rsidRPr="002C705A">
        <w:rPr>
          <w:noProof/>
          <w:lang w:eastAsia="hu-HU"/>
        </w:rPr>
        <w:drawing>
          <wp:inline distT="0" distB="0" distL="0" distR="0" wp14:anchorId="78B54153" wp14:editId="36DE3EDF">
            <wp:extent cx="5756910" cy="3238262"/>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238262"/>
                    </a:xfrm>
                    <a:prstGeom prst="rect">
                      <a:avLst/>
                    </a:prstGeom>
                  </pic:spPr>
                </pic:pic>
              </a:graphicData>
            </a:graphic>
          </wp:inline>
        </w:drawing>
      </w:r>
    </w:p>
    <w:sectPr w:rsidR="009B7DEB" w:rsidRPr="00EB7546" w:rsidSect="002956A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97F5D" w14:textId="77777777" w:rsidR="00C9585C" w:rsidRDefault="00C9585C" w:rsidP="00EB7546">
      <w:r>
        <w:separator/>
      </w:r>
    </w:p>
  </w:endnote>
  <w:endnote w:type="continuationSeparator" w:id="0">
    <w:p w14:paraId="50D32C95" w14:textId="77777777" w:rsidR="00C9585C" w:rsidRDefault="00C9585C" w:rsidP="00EB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9D1A" w14:textId="77777777" w:rsidR="00135550" w:rsidRDefault="00135550" w:rsidP="005E567A">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D076AEB" w14:textId="77777777" w:rsidR="00135550" w:rsidRDefault="00135550">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1051" w14:textId="77777777" w:rsidR="00135550" w:rsidRDefault="00135550" w:rsidP="005E567A">
    <w:pPr>
      <w:pStyle w:val="llb"/>
      <w:framePr w:wrap="none"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9585C">
      <w:rPr>
        <w:rStyle w:val="Oldalszm"/>
        <w:noProof/>
      </w:rPr>
      <w:t>1</w:t>
    </w:r>
    <w:r>
      <w:rPr>
        <w:rStyle w:val="Oldalszm"/>
      </w:rPr>
      <w:fldChar w:fldCharType="end"/>
    </w:r>
  </w:p>
  <w:p w14:paraId="36D779B6" w14:textId="77777777" w:rsidR="00135550" w:rsidRDefault="00135550">
    <w:pPr>
      <w:pStyle w:val="ll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CEC5E" w14:textId="77777777" w:rsidR="00C9585C" w:rsidRDefault="00C9585C" w:rsidP="00EB7546">
      <w:r>
        <w:separator/>
      </w:r>
    </w:p>
  </w:footnote>
  <w:footnote w:type="continuationSeparator" w:id="0">
    <w:p w14:paraId="7D232BB6" w14:textId="77777777" w:rsidR="00C9585C" w:rsidRDefault="00C9585C" w:rsidP="00EB7546">
      <w:r>
        <w:continuationSeparator/>
      </w:r>
    </w:p>
  </w:footnote>
  <w:footnote w:id="1">
    <w:p w14:paraId="1751A72B" w14:textId="77777777" w:rsidR="00EB7546" w:rsidRPr="00E84AC8" w:rsidRDefault="00EB7546" w:rsidP="00EB7546">
      <w:pPr>
        <w:jc w:val="both"/>
      </w:pPr>
      <w:r>
        <w:rPr>
          <w:rStyle w:val="Lbjegyzet-hivatkozs"/>
        </w:rPr>
        <w:footnoteRef/>
      </w:r>
      <w:r>
        <w:t xml:space="preserve"> </w:t>
      </w:r>
      <w:r w:rsidRPr="0008536A">
        <w:rPr>
          <w:rFonts w:ascii="Times New Roman" w:hAnsi="Times New Roman" w:cs="Times New Roman"/>
          <w:sz w:val="21"/>
        </w:rPr>
        <w:t>Megjegyzés: Putnam (1993) a megkötő társadalmi tőke (bonding social capital) kapcsán is rávilágít ennek árnyoldalára. Ennek vonatkozásában megjegyzi, hogy a túlzottan zárt kapcsolatok mások kizárását vagy a társadalmi mobilitás akadályozását jelenthetik bizonyos társadalmi csoportok, közösségek esetében (lásd még: Woolcock-Narayan 2000, Woolcock 1998, Granovetter 1973).</w:t>
      </w:r>
      <w:r w:rsidRPr="00E84AC8">
        <w:rPr>
          <w:sz w:val="21"/>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7124F"/>
    <w:multiLevelType w:val="hybridMultilevel"/>
    <w:tmpl w:val="C18802BC"/>
    <w:lvl w:ilvl="0" w:tplc="EA7A0DE8">
      <w:start w:val="1"/>
      <w:numFmt w:val="decimal"/>
      <w:lvlText w:val="%1."/>
      <w:lvlJc w:val="left"/>
      <w:pPr>
        <w:ind w:left="1060" w:hanging="360"/>
      </w:pPr>
      <w:rPr>
        <w:rFonts w:hint="default"/>
      </w:r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
    <w:nsid w:val="6ACC6FE4"/>
    <w:multiLevelType w:val="hybridMultilevel"/>
    <w:tmpl w:val="7AD0E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2A62DB"/>
    <w:multiLevelType w:val="hybridMultilevel"/>
    <w:tmpl w:val="34807F6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13"/>
    <w:rsid w:val="0008536A"/>
    <w:rsid w:val="00095746"/>
    <w:rsid w:val="00100892"/>
    <w:rsid w:val="00135550"/>
    <w:rsid w:val="0015313C"/>
    <w:rsid w:val="0016093A"/>
    <w:rsid w:val="00167D8D"/>
    <w:rsid w:val="001A4678"/>
    <w:rsid w:val="001B29B1"/>
    <w:rsid w:val="001D46E5"/>
    <w:rsid w:val="00250DE6"/>
    <w:rsid w:val="00266DDE"/>
    <w:rsid w:val="002956A2"/>
    <w:rsid w:val="002F3C04"/>
    <w:rsid w:val="00361A38"/>
    <w:rsid w:val="003B4341"/>
    <w:rsid w:val="003D1AC9"/>
    <w:rsid w:val="00456591"/>
    <w:rsid w:val="00490DB7"/>
    <w:rsid w:val="004B7D36"/>
    <w:rsid w:val="004C0F5B"/>
    <w:rsid w:val="004D1B88"/>
    <w:rsid w:val="00535442"/>
    <w:rsid w:val="00554F24"/>
    <w:rsid w:val="005C5037"/>
    <w:rsid w:val="005E02E3"/>
    <w:rsid w:val="0063545D"/>
    <w:rsid w:val="0064640B"/>
    <w:rsid w:val="0065222C"/>
    <w:rsid w:val="006611B3"/>
    <w:rsid w:val="00696477"/>
    <w:rsid w:val="006A5629"/>
    <w:rsid w:val="006A5CF4"/>
    <w:rsid w:val="00700BB4"/>
    <w:rsid w:val="007453C8"/>
    <w:rsid w:val="00824A60"/>
    <w:rsid w:val="00874741"/>
    <w:rsid w:val="008E4866"/>
    <w:rsid w:val="0090364D"/>
    <w:rsid w:val="00924881"/>
    <w:rsid w:val="00953820"/>
    <w:rsid w:val="00953DE5"/>
    <w:rsid w:val="00973BA3"/>
    <w:rsid w:val="009A51D6"/>
    <w:rsid w:val="009B7DEB"/>
    <w:rsid w:val="00A02FF9"/>
    <w:rsid w:val="00A511C4"/>
    <w:rsid w:val="00A82523"/>
    <w:rsid w:val="00A8647D"/>
    <w:rsid w:val="00B07A30"/>
    <w:rsid w:val="00B1488F"/>
    <w:rsid w:val="00B22713"/>
    <w:rsid w:val="00B9313F"/>
    <w:rsid w:val="00BA51BC"/>
    <w:rsid w:val="00BE1A2D"/>
    <w:rsid w:val="00C24C12"/>
    <w:rsid w:val="00C53CAD"/>
    <w:rsid w:val="00C55B8E"/>
    <w:rsid w:val="00C6489A"/>
    <w:rsid w:val="00C90313"/>
    <w:rsid w:val="00C9585C"/>
    <w:rsid w:val="00CF3E2F"/>
    <w:rsid w:val="00D03587"/>
    <w:rsid w:val="00DC5E0C"/>
    <w:rsid w:val="00DD52EC"/>
    <w:rsid w:val="00EB7546"/>
    <w:rsid w:val="00EF7930"/>
    <w:rsid w:val="00FA6CF6"/>
    <w:rsid w:val="00FE6B4C"/>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81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24C12"/>
    <w:pPr>
      <w:spacing w:before="100" w:beforeAutospacing="1" w:after="100" w:afterAutospacing="1"/>
    </w:pPr>
    <w:rPr>
      <w:rFonts w:ascii="Times New Roman" w:hAnsi="Times New Roman" w:cs="Times New Roman"/>
      <w:lang w:eastAsia="hu-HU"/>
    </w:rPr>
  </w:style>
  <w:style w:type="paragraph" w:styleId="Lbjegyzetszveg">
    <w:name w:val="footnote text"/>
    <w:aliases w:val="Lábjegyzet-szöveg"/>
    <w:basedOn w:val="Norml"/>
    <w:link w:val="LbjegyzetszvegChar"/>
    <w:uiPriority w:val="99"/>
    <w:unhideWhenUsed/>
    <w:rsid w:val="00EB7546"/>
    <w:rPr>
      <w:sz w:val="20"/>
      <w:szCs w:val="20"/>
    </w:rPr>
  </w:style>
  <w:style w:type="character" w:customStyle="1" w:styleId="LbjegyzetszvegChar">
    <w:name w:val="Lábjegyzetszöveg Char"/>
    <w:aliases w:val="Lábjegyzet-szöveg Char"/>
    <w:basedOn w:val="Bekezdsalapbettpusa"/>
    <w:link w:val="Lbjegyzetszveg"/>
    <w:uiPriority w:val="99"/>
    <w:rsid w:val="00EB7546"/>
    <w:rPr>
      <w:sz w:val="20"/>
      <w:szCs w:val="20"/>
    </w:rPr>
  </w:style>
  <w:style w:type="character" w:styleId="Lbjegyzet-hivatkozs">
    <w:name w:val="footnote reference"/>
    <w:basedOn w:val="Bekezdsalapbettpusa"/>
    <w:uiPriority w:val="99"/>
    <w:unhideWhenUsed/>
    <w:rsid w:val="00EB7546"/>
    <w:rPr>
      <w:vertAlign w:val="superscript"/>
    </w:rPr>
  </w:style>
  <w:style w:type="paragraph" w:styleId="Listabekezds">
    <w:name w:val="List Paragraph"/>
    <w:basedOn w:val="Norml"/>
    <w:uiPriority w:val="34"/>
    <w:qFormat/>
    <w:rsid w:val="00EB7546"/>
    <w:pPr>
      <w:ind w:left="720"/>
      <w:contextualSpacing/>
    </w:pPr>
  </w:style>
  <w:style w:type="paragraph" w:styleId="llb">
    <w:name w:val="footer"/>
    <w:basedOn w:val="Norml"/>
    <w:link w:val="llbChar"/>
    <w:uiPriority w:val="99"/>
    <w:unhideWhenUsed/>
    <w:rsid w:val="00135550"/>
    <w:pPr>
      <w:tabs>
        <w:tab w:val="center" w:pos="4536"/>
        <w:tab w:val="right" w:pos="9072"/>
      </w:tabs>
    </w:pPr>
  </w:style>
  <w:style w:type="character" w:customStyle="1" w:styleId="llbChar">
    <w:name w:val="Élőláb Char"/>
    <w:basedOn w:val="Bekezdsalapbettpusa"/>
    <w:link w:val="llb"/>
    <w:uiPriority w:val="99"/>
    <w:rsid w:val="00135550"/>
  </w:style>
  <w:style w:type="character" w:styleId="Oldalszm">
    <w:name w:val="page number"/>
    <w:basedOn w:val="Bekezdsalapbettpusa"/>
    <w:uiPriority w:val="99"/>
    <w:semiHidden/>
    <w:unhideWhenUsed/>
    <w:rsid w:val="00135550"/>
  </w:style>
  <w:style w:type="character" w:styleId="Hiperhivatkozs">
    <w:name w:val="Hyperlink"/>
    <w:basedOn w:val="Bekezdsalapbettpusa"/>
    <w:uiPriority w:val="99"/>
    <w:semiHidden/>
    <w:unhideWhenUsed/>
    <w:rsid w:val="00FE6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888">
      <w:bodyDiv w:val="1"/>
      <w:marLeft w:val="0"/>
      <w:marRight w:val="0"/>
      <w:marTop w:val="0"/>
      <w:marBottom w:val="0"/>
      <w:divBdr>
        <w:top w:val="none" w:sz="0" w:space="0" w:color="auto"/>
        <w:left w:val="none" w:sz="0" w:space="0" w:color="auto"/>
        <w:bottom w:val="none" w:sz="0" w:space="0" w:color="auto"/>
        <w:right w:val="none" w:sz="0" w:space="0" w:color="auto"/>
      </w:divBdr>
    </w:div>
    <w:div w:id="1886485190">
      <w:bodyDiv w:val="1"/>
      <w:marLeft w:val="0"/>
      <w:marRight w:val="0"/>
      <w:marTop w:val="0"/>
      <w:marBottom w:val="0"/>
      <w:divBdr>
        <w:top w:val="none" w:sz="0" w:space="0" w:color="auto"/>
        <w:left w:val="none" w:sz="0" w:space="0" w:color="auto"/>
        <w:bottom w:val="none" w:sz="0" w:space="0" w:color="auto"/>
        <w:right w:val="none" w:sz="0" w:space="0" w:color="auto"/>
      </w:divBdr>
    </w:div>
    <w:div w:id="2042583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2790</Words>
  <Characters>19255</Characters>
  <Application>Microsoft Macintosh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2019-01-07T11:09:00Z</dcterms:created>
  <dcterms:modified xsi:type="dcterms:W3CDTF">2020-01-31T08:43:00Z</dcterms:modified>
</cp:coreProperties>
</file>