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18" w:rsidRPr="00A916C8" w:rsidRDefault="00A916C8" w:rsidP="00584A76">
      <w:pPr>
        <w:pStyle w:val="Cmsor1"/>
        <w:keepNext/>
        <w:keepLines/>
        <w:spacing w:before="240" w:beforeAutospacing="0" w:after="0" w:afterAutospacing="0" w:line="259" w:lineRule="auto"/>
        <w:ind w:left="720" w:hanging="720"/>
        <w:jc w:val="both"/>
        <w:rPr>
          <w:rFonts w:asciiTheme="majorHAnsi" w:hAnsiTheme="majorHAnsi" w:cstheme="majorBidi"/>
          <w:bCs w:val="0"/>
          <w:color w:val="2E74B5" w:themeColor="accent1" w:themeShade="BF"/>
          <w:kern w:val="0"/>
          <w:sz w:val="32"/>
          <w:szCs w:val="32"/>
        </w:rPr>
      </w:pPr>
      <w:r>
        <w:rPr>
          <w:rFonts w:asciiTheme="majorHAnsi" w:hAnsiTheme="majorHAnsi" w:cstheme="majorBidi"/>
          <w:bCs w:val="0"/>
          <w:color w:val="2E74B5" w:themeColor="accent1" w:themeShade="BF"/>
          <w:kern w:val="0"/>
          <w:sz w:val="32"/>
          <w:szCs w:val="32"/>
        </w:rPr>
        <w:t xml:space="preserve">7.2. </w:t>
      </w:r>
      <w:r w:rsidR="0077432D" w:rsidRPr="00A916C8">
        <w:rPr>
          <w:rFonts w:asciiTheme="majorHAnsi" w:hAnsiTheme="majorHAnsi" w:cstheme="majorBidi"/>
          <w:bCs w:val="0"/>
          <w:color w:val="2E74B5" w:themeColor="accent1" w:themeShade="BF"/>
          <w:kern w:val="0"/>
          <w:sz w:val="32"/>
          <w:szCs w:val="32"/>
        </w:rPr>
        <w:t>Az államháztartás új alapjai 2011-től</w:t>
      </w:r>
    </w:p>
    <w:p w:rsidR="0077432D" w:rsidRPr="00F874B0" w:rsidRDefault="0077432D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4B0" w:rsidRPr="00A916C8" w:rsidRDefault="00A916C8" w:rsidP="00584A76">
      <w:pPr>
        <w:pStyle w:val="Cmsor2"/>
      </w:pPr>
      <w:r>
        <w:t xml:space="preserve">7.2.1 </w:t>
      </w:r>
      <w:r w:rsidR="00F874B0" w:rsidRPr="00A916C8">
        <w:t>Az állam szerepe az oktatásban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4B0" w:rsidRPr="00F874B0" w:rsidRDefault="00F874B0" w:rsidP="00584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 xml:space="preserve">Az oktatás az elmúlt évszázadban a modern társadalmak egyik legnagyobb alrendszerévé vált. Nem egy országban ez az ágazat az aktív munkaerő egyik legjelentősebb foglalkoztatója. Az államok e rendszer működtetésére fordítják nemzeti jövedelmük 6%-át, és költségvetésük 10-15%-át. A modern társadalmakban, ahol 15-16 éves koráig gyakorlatilag mindenki, 18-19 éves koráig pedig a fiatalok többsége iskolába jár, és azon túl is egyre többen tanulnak, a népesség csaknem egyötöde az oktatás közvetlen fogyasztója. </w:t>
      </w:r>
    </w:p>
    <w:p w:rsidR="00F874B0" w:rsidRPr="00F874B0" w:rsidRDefault="00F874B0" w:rsidP="00584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 xml:space="preserve">Az oktatás szerepét ma már nem csak abban látják, hogy általa valósul meg a kultúra, a tudás és az érték átadása, hanem döntő hozzájárulást tulajdonítanak a gazdaság fejlődésében és a társadalmi integráció megteremtésében is. </w:t>
      </w:r>
    </w:p>
    <w:p w:rsidR="00F874B0" w:rsidRPr="00F874B0" w:rsidRDefault="00F874B0" w:rsidP="00584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Az oktatási rendszer a modern társadalmakban elválaszthatatlanul kapcsolódik más társadalmi alrendszerekhez. Nemcsak a kultúrához és a tudományhoz, hanem a gazdasághoz, valamint a politikai és közigazgatási rendszerhez is. E kötődéssel az jár, hogy az oktatási változások közvetlen módon befolyásolják a többi alrendszer működését, illetve azok változásai visszahatnak az oktatásra.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4B0" w:rsidRPr="00A916C8" w:rsidRDefault="00A916C8" w:rsidP="00584A76">
      <w:pPr>
        <w:pStyle w:val="Cmsor2"/>
      </w:pPr>
      <w:r>
        <w:t xml:space="preserve">7.2.2. </w:t>
      </w:r>
      <w:r w:rsidR="00F874B0" w:rsidRPr="00A916C8">
        <w:t>Az oktatás állami finanszírozása melle</w:t>
      </w:r>
      <w:r>
        <w:t>tt felhozott érvek a következők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b/>
          <w:sz w:val="24"/>
          <w:szCs w:val="24"/>
        </w:rPr>
        <w:t>Az esélyegyenlőség biztosítása.</w:t>
      </w:r>
      <w:r w:rsidRPr="00F874B0">
        <w:rPr>
          <w:rFonts w:ascii="Times New Roman" w:hAnsi="Times New Roman" w:cs="Times New Roman"/>
          <w:sz w:val="24"/>
          <w:szCs w:val="24"/>
        </w:rPr>
        <w:t xml:space="preserve"> Ha a jövedelemelosztás egyenlőtlensége miatt az oktatási lehetőségek is különbözőek, vagyis az egyének lehetőségei nem egyformák abban, hogy milyen oktatási befektetéseket képesek végrehajtani, akkor a jövőben is állandósítja a jövedelmi egyenlőtlenségeket, mivel az iskolázottság a kereseti lehetőségeket befolyásolja. Ennek a hatásnak az enyhítésére szükséges az oktatás állami támogatása.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A második érv</w:t>
      </w:r>
      <w:r w:rsidRPr="00F874B0">
        <w:rPr>
          <w:rFonts w:ascii="Times New Roman" w:hAnsi="Times New Roman" w:cs="Times New Roman"/>
          <w:b/>
          <w:sz w:val="24"/>
          <w:szCs w:val="24"/>
        </w:rPr>
        <w:t xml:space="preserve"> az oktatás </w:t>
      </w:r>
      <w:proofErr w:type="spellStart"/>
      <w:r w:rsidRPr="00F874B0">
        <w:rPr>
          <w:rFonts w:ascii="Times New Roman" w:hAnsi="Times New Roman" w:cs="Times New Roman"/>
          <w:b/>
          <w:sz w:val="24"/>
          <w:szCs w:val="24"/>
        </w:rPr>
        <w:t>externális</w:t>
      </w:r>
      <w:proofErr w:type="spellEnd"/>
      <w:r w:rsidRPr="00F874B0">
        <w:rPr>
          <w:rFonts w:ascii="Times New Roman" w:hAnsi="Times New Roman" w:cs="Times New Roman"/>
          <w:b/>
          <w:sz w:val="24"/>
          <w:szCs w:val="24"/>
        </w:rPr>
        <w:t xml:space="preserve"> hozamai</w:t>
      </w:r>
      <w:r w:rsidRPr="00F874B0">
        <w:rPr>
          <w:rFonts w:ascii="Times New Roman" w:hAnsi="Times New Roman" w:cs="Times New Roman"/>
          <w:sz w:val="24"/>
          <w:szCs w:val="24"/>
        </w:rPr>
        <w:t>hoz</w:t>
      </w:r>
      <w:r w:rsidRPr="00F87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4B0">
        <w:rPr>
          <w:rFonts w:ascii="Times New Roman" w:hAnsi="Times New Roman" w:cs="Times New Roman"/>
          <w:sz w:val="24"/>
          <w:szCs w:val="24"/>
        </w:rPr>
        <w:t>kapcsolódik</w:t>
      </w:r>
      <w:r w:rsidRPr="00F874B0">
        <w:rPr>
          <w:rFonts w:ascii="Times New Roman" w:hAnsi="Times New Roman" w:cs="Times New Roman"/>
          <w:b/>
          <w:sz w:val="24"/>
          <w:szCs w:val="24"/>
        </w:rPr>
        <w:t>.</w:t>
      </w:r>
      <w:r w:rsidRPr="00F874B0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F874B0">
        <w:rPr>
          <w:rFonts w:ascii="Times New Roman" w:hAnsi="Times New Roman" w:cs="Times New Roman"/>
          <w:sz w:val="24"/>
          <w:szCs w:val="24"/>
        </w:rPr>
        <w:t>externális</w:t>
      </w:r>
      <w:proofErr w:type="spellEnd"/>
      <w:r w:rsidRPr="00F874B0">
        <w:rPr>
          <w:rFonts w:ascii="Times New Roman" w:hAnsi="Times New Roman" w:cs="Times New Roman"/>
          <w:sz w:val="24"/>
          <w:szCs w:val="24"/>
        </w:rPr>
        <w:t xml:space="preserve"> hozam (társadalmi haszon) oktatási programonként és oktatási fokozatonként is változik. Az alsó és középfokú oktatáshoz általában jelentős </w:t>
      </w:r>
      <w:proofErr w:type="spellStart"/>
      <w:r w:rsidRPr="00F874B0">
        <w:rPr>
          <w:rFonts w:ascii="Times New Roman" w:hAnsi="Times New Roman" w:cs="Times New Roman"/>
          <w:sz w:val="24"/>
          <w:szCs w:val="24"/>
        </w:rPr>
        <w:t>externális</w:t>
      </w:r>
      <w:proofErr w:type="spellEnd"/>
      <w:r w:rsidRPr="00F874B0">
        <w:rPr>
          <w:rFonts w:ascii="Times New Roman" w:hAnsi="Times New Roman" w:cs="Times New Roman"/>
          <w:sz w:val="24"/>
          <w:szCs w:val="24"/>
        </w:rPr>
        <w:t xml:space="preserve"> hozamot kapcsolnak, például a társadalmi kohézió erősítését a közös tudásanyag, közös értékek kialakítása révén.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b/>
          <w:sz w:val="24"/>
          <w:szCs w:val="24"/>
        </w:rPr>
        <w:t>A tőkepiac tökéletlensége</w:t>
      </w:r>
      <w:r w:rsidRPr="00F874B0">
        <w:rPr>
          <w:rFonts w:ascii="Times New Roman" w:hAnsi="Times New Roman" w:cs="Times New Roman"/>
          <w:sz w:val="24"/>
          <w:szCs w:val="24"/>
        </w:rPr>
        <w:t xml:space="preserve"> további érv amellett, hogy az államnak be kell avatkoznia az oktatásba. A kereskedelmi hitelintézmények az emberi tőke likviditás hiánya következtében kevésbé nyújtanak hitelt emberitőke-beruházásokra, mint más befektetési célokra. Az egyéni hozamok egy része nem pénzbeli hozam. Ezeket az egyén figyelembe veszi beruházási döntése meghozatalakor, a kereskedelmi hitelintézet viszont nem. Problémát jelent továbbá, hogy nem ismeri a hitelkérelmező képességeit, így hogy mekkora lesz az „egyéni megtérülési ráta”.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b/>
          <w:sz w:val="24"/>
          <w:szCs w:val="24"/>
        </w:rPr>
        <w:t>Az információ tökéletlensége.</w:t>
      </w:r>
      <w:r w:rsidRPr="00F874B0">
        <w:rPr>
          <w:rFonts w:ascii="Times New Roman" w:hAnsi="Times New Roman" w:cs="Times New Roman"/>
          <w:sz w:val="24"/>
          <w:szCs w:val="24"/>
        </w:rPr>
        <w:t xml:space="preserve"> Az egyének iskolázási döntéseiket a munkapiac adott, az iskolázási döntés meghozatalakor érvényes munkapiaci feltételek alapján hozzák meg. A képzés hossza miatt azonban, még ha az egyéni iskolaválasztások követik is a munkakereslet változásait, mire a kívánt képzettséget megszerzik az egyének, addigra csökkenhet az adott szakma iránti kereslet, vagy olyan sokan választották azt, hogy túlkínálat alakul ki. Ezért a kormányzat az oktatásszervezésen (</w:t>
      </w:r>
      <w:proofErr w:type="spellStart"/>
      <w:r w:rsidRPr="00F874B0">
        <w:rPr>
          <w:rFonts w:ascii="Times New Roman" w:hAnsi="Times New Roman" w:cs="Times New Roman"/>
          <w:sz w:val="24"/>
          <w:szCs w:val="24"/>
        </w:rPr>
        <w:t>munkaerőpiaci</w:t>
      </w:r>
      <w:proofErr w:type="spellEnd"/>
      <w:r w:rsidRPr="00F874B0">
        <w:rPr>
          <w:rFonts w:ascii="Times New Roman" w:hAnsi="Times New Roman" w:cs="Times New Roman"/>
          <w:sz w:val="24"/>
          <w:szCs w:val="24"/>
        </w:rPr>
        <w:t xml:space="preserve"> prognózisok készítése, keretszámok stb.) keresztül igyekszik a kínálati oldalt a különböző szakképzettségű munkavállalók iránti várható kereslethez igazítani.</w:t>
      </w:r>
    </w:p>
    <w:p w:rsidR="00F874B0" w:rsidRPr="00F874B0" w:rsidRDefault="00F874B0" w:rsidP="00584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lastRenderedPageBreak/>
        <w:t>Az oktatás finanszírozása sokféle módon történhet. A legáltalánosabb módszer a fejkvóta-rendszer, amelynél a különböző iskolatípusokban tanulók számára különböző nagyságú fejkvótát állapítanak meg. A fejkvóta alapú támogatási rendszernél nem veszik figyelembe a helyhatóságok jövedelemtermelő képességét. Más esetben az állam megkövetelheti, hogy a helyhatóságok oktatási célra kivessenek valamilyen helyi adót (ált. vagyonadót), a költségvetés, pedig ezt egészíti ki a garantálni kívánt egy tanulóra jutó kiadási szintig.</w:t>
      </w:r>
    </w:p>
    <w:p w:rsidR="00F874B0" w:rsidRPr="00F874B0" w:rsidRDefault="00F874B0" w:rsidP="00584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 xml:space="preserve">Az alsó és középfokú oktatás hasznát nagyobb részben helyi jelentőségűnek tartják, mivel a </w:t>
      </w:r>
      <w:proofErr w:type="gramStart"/>
      <w:r w:rsidRPr="00F874B0">
        <w:rPr>
          <w:rFonts w:ascii="Times New Roman" w:hAnsi="Times New Roman" w:cs="Times New Roman"/>
          <w:sz w:val="24"/>
          <w:szCs w:val="24"/>
        </w:rPr>
        <w:t>migráció sokkal</w:t>
      </w:r>
      <w:proofErr w:type="gramEnd"/>
      <w:r w:rsidRPr="00F874B0">
        <w:rPr>
          <w:rFonts w:ascii="Times New Roman" w:hAnsi="Times New Roman" w:cs="Times New Roman"/>
          <w:sz w:val="24"/>
          <w:szCs w:val="24"/>
        </w:rPr>
        <w:t xml:space="preserve"> gyakoribb azok körében, akik felsőfokú oktatásban részesülnek. Ezért a fenntartásban és a finanszírozásban is komoly szerep hárul a helyi önkormányzatokra, iskolakörzetekre. A felsőoktatás hozamait kevésbé tekintik helyi jelentőségűnek, mint a közoktatásét, ezért a támogatásokat rendszerint a központi költségvetésből </w:t>
      </w:r>
      <w:proofErr w:type="gramStart"/>
      <w:r w:rsidRPr="00F874B0">
        <w:rPr>
          <w:rFonts w:ascii="Times New Roman" w:hAnsi="Times New Roman" w:cs="Times New Roman"/>
          <w:sz w:val="24"/>
          <w:szCs w:val="24"/>
        </w:rPr>
        <w:t>eszközlik</w:t>
      </w:r>
      <w:proofErr w:type="gramEnd"/>
      <w:r w:rsidRPr="00F874B0">
        <w:rPr>
          <w:rFonts w:ascii="Times New Roman" w:hAnsi="Times New Roman" w:cs="Times New Roman"/>
          <w:sz w:val="24"/>
          <w:szCs w:val="24"/>
        </w:rPr>
        <w:t>, a következő formákban:</w:t>
      </w:r>
    </w:p>
    <w:p w:rsidR="00F874B0" w:rsidRPr="00F874B0" w:rsidRDefault="00F874B0" w:rsidP="00584A76">
      <w:pPr>
        <w:pStyle w:val="Szvegtrzsbehzssal"/>
        <w:spacing w:after="0"/>
        <w:ind w:firstLine="708"/>
        <w:jc w:val="both"/>
        <w:rPr>
          <w:sz w:val="24"/>
          <w:szCs w:val="24"/>
        </w:rPr>
      </w:pPr>
    </w:p>
    <w:p w:rsidR="00F874B0" w:rsidRPr="00F874B0" w:rsidRDefault="00F874B0" w:rsidP="00584A76">
      <w:pPr>
        <w:pStyle w:val="Szvegtrzsbehzssal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874B0">
        <w:rPr>
          <w:sz w:val="24"/>
          <w:szCs w:val="24"/>
        </w:rPr>
        <w:t>felsőoktatási intézményeknek nyújtott támogatások,</w:t>
      </w:r>
    </w:p>
    <w:p w:rsidR="00F874B0" w:rsidRPr="00F874B0" w:rsidRDefault="00F874B0" w:rsidP="00584A76">
      <w:pPr>
        <w:pStyle w:val="Szvegtrzsbehzssal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874B0">
        <w:rPr>
          <w:sz w:val="24"/>
          <w:szCs w:val="24"/>
        </w:rPr>
        <w:t>feltételekhez (pl. tanulmányi előmenetel vagy rászorultság) nem kötött támogatás a hallgatóknak,</w:t>
      </w:r>
    </w:p>
    <w:p w:rsidR="00F874B0" w:rsidRPr="00F874B0" w:rsidRDefault="00F874B0" w:rsidP="00584A76">
      <w:pPr>
        <w:pStyle w:val="Szvegtrzsbehzssal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874B0">
        <w:rPr>
          <w:sz w:val="24"/>
          <w:szCs w:val="24"/>
        </w:rPr>
        <w:t>tanulmányi előmenetelhez kötött ösztöndíj,</w:t>
      </w:r>
    </w:p>
    <w:p w:rsidR="00F874B0" w:rsidRPr="00F874B0" w:rsidRDefault="00F874B0" w:rsidP="00584A76">
      <w:pPr>
        <w:pStyle w:val="Szvegtrzsbehzssal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874B0">
        <w:rPr>
          <w:sz w:val="24"/>
          <w:szCs w:val="24"/>
        </w:rPr>
        <w:t>rászorultsághoz kötött támogatás vagy ösztöndíj,</w:t>
      </w:r>
    </w:p>
    <w:p w:rsidR="00F874B0" w:rsidRPr="00F874B0" w:rsidRDefault="00F874B0" w:rsidP="00584A76">
      <w:pPr>
        <w:pStyle w:val="Szvegtrzsbehzssal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874B0">
        <w:rPr>
          <w:sz w:val="24"/>
          <w:szCs w:val="24"/>
        </w:rPr>
        <w:t>visszafizetendő, de támogatott, alacsony kamatozású vagy kamatmentes kölcsönök,</w:t>
      </w:r>
    </w:p>
    <w:p w:rsidR="00F874B0" w:rsidRPr="00F874B0" w:rsidRDefault="00F874B0" w:rsidP="00584A76">
      <w:pPr>
        <w:pStyle w:val="Szvegtrzsbehzssal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874B0">
        <w:rPr>
          <w:sz w:val="24"/>
          <w:szCs w:val="24"/>
        </w:rPr>
        <w:t>utazási, lakhatási vagy étkezési támogatás,</w:t>
      </w:r>
    </w:p>
    <w:p w:rsidR="00F874B0" w:rsidRPr="00F874B0" w:rsidRDefault="00F874B0" w:rsidP="00584A76">
      <w:pPr>
        <w:pStyle w:val="Szvegtrzsbehzssal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874B0">
        <w:rPr>
          <w:sz w:val="24"/>
          <w:szCs w:val="24"/>
        </w:rPr>
        <w:t>adókedvezmények a felsőoktatásban résztvevők vagy végzettek számára,</w:t>
      </w:r>
    </w:p>
    <w:p w:rsidR="00F874B0" w:rsidRPr="00F874B0" w:rsidRDefault="00F874B0" w:rsidP="00584A76">
      <w:pPr>
        <w:pStyle w:val="Szvegtrzsbehzssal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874B0">
        <w:rPr>
          <w:sz w:val="24"/>
          <w:szCs w:val="24"/>
        </w:rPr>
        <w:t>adókedvezmények a felsőoktatásban résztvevők szülei számára.</w:t>
      </w:r>
    </w:p>
    <w:p w:rsidR="00F874B0" w:rsidRPr="00F874B0" w:rsidRDefault="00F874B0" w:rsidP="00584A76">
      <w:pPr>
        <w:pStyle w:val="Szvegtrzsbehzssal"/>
        <w:spacing w:after="0"/>
        <w:jc w:val="both"/>
        <w:rPr>
          <w:sz w:val="24"/>
          <w:szCs w:val="24"/>
        </w:rPr>
      </w:pPr>
    </w:p>
    <w:p w:rsidR="00F874B0" w:rsidRPr="00F874B0" w:rsidRDefault="00F874B0" w:rsidP="00584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A felsőoktatási hallgatói létszám az 1970-es évektől kezdve rohamos</w:t>
      </w:r>
      <w:r w:rsidRPr="00F87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4B0">
        <w:rPr>
          <w:rFonts w:ascii="Times New Roman" w:hAnsi="Times New Roman" w:cs="Times New Roman"/>
          <w:sz w:val="24"/>
          <w:szCs w:val="24"/>
        </w:rPr>
        <w:t xml:space="preserve">növekedésnek indult. Az igény növekedésének okai között fellelhetjük többek között a fejlettebb technológiát is alkalmazni képes munkaerő iránti keresletet; az idősebb generáció ismételt megjelenését a felsőoktatásban az „élethosszig tartó tanulás” jegyében; a tanulás fogyasztási jószágként való megjelenését; a felsőoktatásban eltöltött idő növekedését. </w:t>
      </w:r>
    </w:p>
    <w:p w:rsidR="00F874B0" w:rsidRPr="00F874B0" w:rsidRDefault="00F874B0" w:rsidP="00584A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Ez a növekedés és a tudományterületek megsokszorozódása együtt járt a finanszírozási igények fokozódásával. A jóléti államok válsága azonban a felsőoktatási intézmények gazdálkodási problémáit eredményezte. Nyugaton a változást kiváltó okok 30-40 év alatt elnyújtva, míg a volt szocialista országokban a rendszerváltás után felhalmozódva jelentek meg.</w:t>
      </w:r>
    </w:p>
    <w:p w:rsidR="00F874B0" w:rsidRPr="00F874B0" w:rsidRDefault="00F874B0" w:rsidP="00584A76">
      <w:pPr>
        <w:pStyle w:val="Szvegtrzsbehzssal"/>
        <w:spacing w:after="0"/>
        <w:ind w:left="0" w:firstLine="708"/>
        <w:jc w:val="both"/>
        <w:rPr>
          <w:sz w:val="24"/>
          <w:szCs w:val="24"/>
        </w:rPr>
      </w:pPr>
      <w:r w:rsidRPr="00F874B0">
        <w:rPr>
          <w:sz w:val="24"/>
          <w:szCs w:val="24"/>
        </w:rPr>
        <w:t>Ma a legtöbb országban a költségvetési források mellett a magánforrások szerepe is jelentős a felsőoktatásban. A felsőoktatási tandíjfizetéssel kapcsolatban két ellentétes álláspont alakult ki. Az egyik szerint a felsőoktatást, a közoktatáshoz hasonlóan, lényegében közjószágnak kell tekinteni, és ezért mindenki számára biztosítani kell a tandíjmentes hozzáférést. A másik álláspont szerint igaz ugyan, hogy a felsőoktatásnak is vannak hozamai az egész közösség számára, de olyan jószágról van szó, amely jelentős egyéni haszonnal jár, ezért az egyéni teherviselés (pl. a tandíjfizetés) mindenképpen indokolt.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4B0" w:rsidRDefault="00A916C8" w:rsidP="00584A76">
      <w:pPr>
        <w:pStyle w:val="Cmsor2"/>
      </w:pPr>
      <w:r>
        <w:t xml:space="preserve">7.2.3. </w:t>
      </w:r>
      <w:r w:rsidR="00F874B0" w:rsidRPr="00A916C8">
        <w:t>Oktatásszabályozás az Európai Unióban</w:t>
      </w:r>
    </w:p>
    <w:p w:rsidR="00A916C8" w:rsidRPr="00A916C8" w:rsidRDefault="00A916C8" w:rsidP="00584A76">
      <w:pPr>
        <w:spacing w:after="0"/>
      </w:pPr>
    </w:p>
    <w:p w:rsidR="00F874B0" w:rsidRPr="00F874B0" w:rsidRDefault="00F874B0" w:rsidP="00584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 xml:space="preserve">Az Európai Unióban az oktatás mindig alapvetően kényes terület volt, amelyet a tagállamok belügyükként </w:t>
      </w:r>
      <w:proofErr w:type="gramStart"/>
      <w:r w:rsidRPr="00F874B0">
        <w:rPr>
          <w:rFonts w:ascii="Times New Roman" w:hAnsi="Times New Roman" w:cs="Times New Roman"/>
          <w:sz w:val="24"/>
          <w:szCs w:val="24"/>
        </w:rPr>
        <w:t>kezeltek</w:t>
      </w:r>
      <w:proofErr w:type="gramEnd"/>
      <w:r w:rsidRPr="00F874B0">
        <w:rPr>
          <w:rFonts w:ascii="Times New Roman" w:hAnsi="Times New Roman" w:cs="Times New Roman"/>
          <w:sz w:val="24"/>
          <w:szCs w:val="24"/>
        </w:rPr>
        <w:t xml:space="preserve"> és amelyre érzékenyen figyeltek, nehogy döntési jogkörük a Közösség javára csorbát szenvedjen. Ehhez a hozzáálláshoz persze az adta az alapot, hogy a Római Szerződés nem tartalmaz olyan cikkelyt, amely alátámasztaná az együttműködést, közös jogszabályozást.</w:t>
      </w:r>
    </w:p>
    <w:p w:rsidR="00F874B0" w:rsidRPr="00F874B0" w:rsidRDefault="00F874B0" w:rsidP="00584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lastRenderedPageBreak/>
        <w:t xml:space="preserve">Ezen okból kifolyólag a Maastrichti Szerződésig kizárólag csak a közösségi jog oktatási vetületeiről, de később is inkább csak oktatáspolitikai ajánlásokról beszélhetünk az EU szintjén. A közösségi jog oktatási vetületei alatt értendő például az, hogy a gazdasági korlátozások lebontásával nem lehetett kizárni az oktatás egyes aspektusait sem. A munkaerő szabad áramlása során felmerült, hogy a munkavállalóra és családjára kiterjeszthető-e az oktatás igénybevételének szabadsága és, hogy ugyanazok a feltételek vonatkoznak-e </w:t>
      </w:r>
      <w:proofErr w:type="gramStart"/>
      <w:r w:rsidRPr="00F874B0">
        <w:rPr>
          <w:rFonts w:ascii="Times New Roman" w:hAnsi="Times New Roman" w:cs="Times New Roman"/>
          <w:sz w:val="24"/>
          <w:szCs w:val="24"/>
        </w:rPr>
        <w:t>rájuk</w:t>
      </w:r>
      <w:proofErr w:type="gramEnd"/>
      <w:r w:rsidRPr="00F874B0">
        <w:rPr>
          <w:rFonts w:ascii="Times New Roman" w:hAnsi="Times New Roman" w:cs="Times New Roman"/>
          <w:sz w:val="24"/>
          <w:szCs w:val="24"/>
        </w:rPr>
        <w:t xml:space="preserve"> mint az „őshonosokra”. </w:t>
      </w:r>
    </w:p>
    <w:p w:rsidR="00F874B0" w:rsidRPr="00F874B0" w:rsidRDefault="00F874B0" w:rsidP="00584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 xml:space="preserve">A Maastrichti Szerződéssel az oktatási, a képzési és az ifjúsági politika megjelent az EU szintjén. Az uniós szintű oktatáspolitikát a </w:t>
      </w:r>
      <w:r w:rsidRPr="00F874B0">
        <w:rPr>
          <w:rFonts w:ascii="Times New Roman" w:hAnsi="Times New Roman" w:cs="Times New Roman"/>
          <w:b/>
          <w:sz w:val="24"/>
          <w:szCs w:val="24"/>
        </w:rPr>
        <w:t>Maastrichti Szerződés</w:t>
      </w:r>
      <w:r w:rsidRPr="00F874B0">
        <w:rPr>
          <w:rFonts w:ascii="Times New Roman" w:hAnsi="Times New Roman" w:cs="Times New Roman"/>
          <w:sz w:val="24"/>
          <w:szCs w:val="24"/>
        </w:rPr>
        <w:t xml:space="preserve"> (1992) önálló fejezetként iktatta be. A Maastrichti Szerződés európai szinten kimondja a diszkriminációmentesség, esélyegyenlőség fontosságát az oktatás területén és szükségesnek tartja az új technológiákhoz való alkalmazkodást és az európai dimenziók bevezetését az oktatásban. Ez persze nem jelenti azt, hogy a tagállamok hatáskörét korlátoznák. Az oktatás területén továbbra is a szubszidiaritás elve érvényesül, csak a világfolyamatok, mint például a globalizáció eredményeképpen egyre nagyobb a késztetés az oktatáspolitikák összehangolására. Az </w:t>
      </w:r>
      <w:r w:rsidRPr="00F874B0">
        <w:rPr>
          <w:rFonts w:ascii="Times New Roman" w:hAnsi="Times New Roman" w:cs="Times New Roman"/>
          <w:b/>
          <w:sz w:val="24"/>
          <w:szCs w:val="24"/>
        </w:rPr>
        <w:t>Amszterdami Szerződés</w:t>
      </w:r>
      <w:r w:rsidRPr="00F874B0">
        <w:rPr>
          <w:rFonts w:ascii="Times New Roman" w:hAnsi="Times New Roman" w:cs="Times New Roman"/>
          <w:sz w:val="24"/>
          <w:szCs w:val="24"/>
        </w:rPr>
        <w:t xml:space="preserve"> (1997) is megerősítette, hogy a tagállamok megőrzik döntési jogukat az oktatást érintő legelemibb kérdéseket illetően, a tananyag összeállítása és az oktatási rendszer működtetése terén. A szubszidiaritás elvének alkalmazása az oktatás területén nagyon erős és elsősorban két szempont érvényesítését jelenti. Mindig meg kell vizsgálni, hogy a tervezett uniós szintű cselekvés indokolt-e, vagyis biztos-e, hogy közösségi szinten hatékonyabban megvalósítható a </w:t>
      </w:r>
      <w:proofErr w:type="gramStart"/>
      <w:r w:rsidRPr="00F874B0">
        <w:rPr>
          <w:rFonts w:ascii="Times New Roman" w:hAnsi="Times New Roman" w:cs="Times New Roman"/>
          <w:sz w:val="24"/>
          <w:szCs w:val="24"/>
        </w:rPr>
        <w:t>célkitűzés</w:t>
      </w:r>
      <w:proofErr w:type="gramEnd"/>
      <w:r w:rsidRPr="00F874B0">
        <w:rPr>
          <w:rFonts w:ascii="Times New Roman" w:hAnsi="Times New Roman" w:cs="Times New Roman"/>
          <w:sz w:val="24"/>
          <w:szCs w:val="24"/>
        </w:rPr>
        <w:t xml:space="preserve"> mint tagállami szinten. Másrészt, hogy arányos-e, vagyis az adott célkitűzés valóban olyan horderejű-e, hogy azt mindenképpen uniós szintű cselekvéssel kell elérni.</w:t>
      </w:r>
    </w:p>
    <w:p w:rsidR="00F874B0" w:rsidRPr="00F874B0" w:rsidRDefault="00F874B0" w:rsidP="00584A76">
      <w:pPr>
        <w:pStyle w:val="Szvegtrzsbehzssal"/>
        <w:spacing w:after="0"/>
        <w:ind w:left="0" w:firstLine="708"/>
        <w:jc w:val="both"/>
        <w:rPr>
          <w:sz w:val="24"/>
          <w:szCs w:val="24"/>
        </w:rPr>
      </w:pPr>
      <w:r w:rsidRPr="00F874B0">
        <w:rPr>
          <w:sz w:val="24"/>
          <w:szCs w:val="24"/>
        </w:rPr>
        <w:t xml:space="preserve">1999-ben egy egységes európai felsőoktatási térség létrehozásának céljával európai oktatási miniszterek aláírták a </w:t>
      </w:r>
      <w:r w:rsidRPr="00F874B0">
        <w:rPr>
          <w:b/>
          <w:sz w:val="24"/>
          <w:szCs w:val="24"/>
        </w:rPr>
        <w:t>Bolognai Nyilatkozatot</w:t>
      </w:r>
      <w:r w:rsidRPr="00F874B0">
        <w:rPr>
          <w:sz w:val="24"/>
          <w:szCs w:val="24"/>
        </w:rPr>
        <w:t xml:space="preserve">. A bolognai reform egyik alapvető eleme és célja a képzési rendszerek összehangolása, konvergálása a könnyebb átjárhatóság jegyében. Az eddigi lépések után mégsem mondható, hogy teljesen átlátható és összehasonlítható, könnyen átjárható rendszer van kialakulóban. </w:t>
      </w:r>
    </w:p>
    <w:p w:rsidR="00F874B0" w:rsidRPr="00F874B0" w:rsidRDefault="00F874B0" w:rsidP="00584A76">
      <w:pPr>
        <w:pStyle w:val="Szvegtrzsbehzssal"/>
        <w:spacing w:after="0"/>
        <w:ind w:left="0"/>
        <w:jc w:val="both"/>
        <w:rPr>
          <w:sz w:val="24"/>
          <w:szCs w:val="24"/>
        </w:rPr>
      </w:pPr>
      <w:r w:rsidRPr="00F874B0">
        <w:rPr>
          <w:sz w:val="24"/>
          <w:szCs w:val="24"/>
        </w:rPr>
        <w:tab/>
        <w:t xml:space="preserve">A felsőoktatás finanszírozása során komoly problémaként merül fel a finanszírozási rendszer országonként eltérő volta, valamint a különböző diákjóléti juttatások /ösztöndíj, diákhitel/, a szociális ellátás „átvitelének” eltérő vagy sokszor igen hiányos szabályozása. A tandíj rendszere, az oktatási intézmény költségvetési támogatásának normatív /hallgatói „fejkvóta”/ rendszere országonként ugyancsak eltérő, ami komoly akadályokat jelent, ugyanis erősen befolyásolja a küldő és a fogadó intézmények érdekeltségét a hallgatócserében, illetve a teljes programra érkező külföldi hallgatók fogadásában. A jelenlegi infrastruktúra elégtelen a külföldi hallgatók fogadására, ellátására még a gazdagabb országokban is; a szálláshoz illetve lakáshoz jutás finanszírozási és szervezési problémái sokszor visszariasztják a külföldre készülő hallgatókat. A szerényebb családi- gazdasági háttérrel rendelkező hallgatók csak akkor tudnak majd bekapcsolódni a mobilitásba, ami a program jövőbeni sikerének kulcspontja, ha szervezett és jól átlátható, tervezhető anyagi támogatást, a tanulás mellett munkavállalási lehetőséget kapnak. 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4B0" w:rsidRDefault="00A916C8" w:rsidP="00584A76">
      <w:pPr>
        <w:pStyle w:val="Cmsor2"/>
      </w:pPr>
      <w:bookmarkStart w:id="0" w:name="_Toc466016429"/>
      <w:r>
        <w:t xml:space="preserve">7.2.4. </w:t>
      </w:r>
      <w:r w:rsidR="00F874B0" w:rsidRPr="00A916C8">
        <w:t>Az élethosszig tartó tanulás elvi és gyakorlati megvalósítása</w:t>
      </w:r>
      <w:bookmarkEnd w:id="0"/>
    </w:p>
    <w:p w:rsidR="00A916C8" w:rsidRPr="00A916C8" w:rsidRDefault="00A916C8" w:rsidP="00584A76">
      <w:pPr>
        <w:spacing w:after="0"/>
      </w:pPr>
    </w:p>
    <w:p w:rsidR="00F874B0" w:rsidRPr="00F874B0" w:rsidRDefault="00F874B0" w:rsidP="00584A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Az élethosszig tartó tanulás (</w:t>
      </w:r>
      <w:proofErr w:type="spellStart"/>
      <w:r w:rsidRPr="00F874B0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F87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4B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F874B0">
        <w:rPr>
          <w:rFonts w:ascii="Times New Roman" w:hAnsi="Times New Roman" w:cs="Times New Roman"/>
          <w:sz w:val="24"/>
          <w:szCs w:val="24"/>
        </w:rPr>
        <w:t>) koncepció „minden, életünk során folytatott olyan tanulási tevékenység,</w:t>
      </w:r>
      <w:r>
        <w:rPr>
          <w:rFonts w:ascii="Times New Roman" w:hAnsi="Times New Roman" w:cs="Times New Roman"/>
          <w:sz w:val="24"/>
          <w:szCs w:val="24"/>
        </w:rPr>
        <w:t xml:space="preserve"> melyet a tudás, a készségek és kompetenciák </w:t>
      </w:r>
      <w:r w:rsidRPr="00F874B0">
        <w:rPr>
          <w:rFonts w:ascii="Times New Roman" w:hAnsi="Times New Roman" w:cs="Times New Roman"/>
          <w:sz w:val="24"/>
          <w:szCs w:val="24"/>
        </w:rPr>
        <w:t xml:space="preserve">fejlesztésének céljával folytatunk egyéni, állampolgári/civil, társadalmi és/vagy foglalkoztatási perspektívában.” Lényegében célja a kulcskompetenciák megszerzése és további képességek, készségek </w:t>
      </w:r>
      <w:r w:rsidRPr="00F874B0">
        <w:rPr>
          <w:rFonts w:ascii="Times New Roman" w:hAnsi="Times New Roman" w:cs="Times New Roman"/>
          <w:sz w:val="24"/>
          <w:szCs w:val="24"/>
        </w:rPr>
        <w:lastRenderedPageBreak/>
        <w:t>kialakítása. Fontos, hogy legyünk képesek tanulni, kommunikálni és ezáltal fejlődni önállóan. A folyamat az iskolai oktatás időszakában is jelen van már, hiszen a tanórák, foglalkozások, egyetemi előadások során megszerzett tudást el kell mélyíteni, tovább kell fejleszteni a képzés ideje alatt, aminek az átlagember gyakran nincs tudatában. A munkaerőpiacra történő kilépéssel ugyanakkor a munkavállaló folyamatos fejlesztése, és ennek során a személyes fejlődéshez kapcsolódó visszajelzés szerepe áthelyeződik a képző intézményről a munkáltatóra.</w:t>
      </w:r>
    </w:p>
    <w:p w:rsidR="00F874B0" w:rsidRPr="00F874B0" w:rsidRDefault="00F874B0" w:rsidP="00584A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Az élethosszig tartó tanulás mögött lévő gyakorlati megoldások célja tulajdonképpen a munkáltató és a képzőhely között sajátos érdekkonfliktus feloldásának igénye. Míg ugyanis a képzőhely célja a standardizált, költséghatékony, általános és egyben méretgazdaságos képzések nyújtása, addig a munkáltatók igénye az egyedi és speciális tudás biztosítása a leendő munkavállalók részére. Az érdekkonfliktus alapja tehát az a probléma, hogy hol húzódik meg az egyén képzési költségeinek határa a képzőhely és a munkáltató között? Nem vitatható, hogy a képzéseknek standardizált módon, formában kell történniük, hiszen ez a gazdaság működésének egyik nagyon fontos feltétele is egyben, kérdés azonban, mi a szerepe a képzési helyeknek a hagyományos képzési programok nyújtásán túl? Van-e szerepe a folyamatban az állami képzőhelyeknek vagy ezeket teljes mértékben a piacra bízzák?</w:t>
      </w:r>
    </w:p>
    <w:p w:rsidR="00F874B0" w:rsidRPr="00F874B0" w:rsidRDefault="00F874B0" w:rsidP="00584A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 xml:space="preserve">A felsőoktatási intézményekben korábban lezajlott szervezeti-intézményi változások eredményeként számos képzési program és szak kerül manapság meghirdetésre. Az ún. </w:t>
      </w:r>
      <w:proofErr w:type="gramStart"/>
      <w:r w:rsidRPr="00F874B0">
        <w:rPr>
          <w:rFonts w:ascii="Times New Roman" w:hAnsi="Times New Roman" w:cs="Times New Roman"/>
          <w:sz w:val="24"/>
          <w:szCs w:val="24"/>
        </w:rPr>
        <w:t>kiegészítő</w:t>
      </w:r>
      <w:proofErr w:type="gramEnd"/>
      <w:r w:rsidRPr="00F874B0">
        <w:rPr>
          <w:rFonts w:ascii="Times New Roman" w:hAnsi="Times New Roman" w:cs="Times New Roman"/>
          <w:sz w:val="24"/>
          <w:szCs w:val="24"/>
        </w:rPr>
        <w:t xml:space="preserve"> szakok létjogosultságát az adja meg, hogy egy területen megszerzett tudás tartalmaz olyan elemeket, amelyeket egy adott tudományterületen belül megszerzendő újabb képzés során figyelembe lehet venni (lásd. </w:t>
      </w:r>
      <w:proofErr w:type="gramStart"/>
      <w:r w:rsidRPr="00F874B0">
        <w:rPr>
          <w:rFonts w:ascii="Times New Roman" w:hAnsi="Times New Roman" w:cs="Times New Roman"/>
          <w:sz w:val="24"/>
          <w:szCs w:val="24"/>
        </w:rPr>
        <w:t>kreditátvitel</w:t>
      </w:r>
      <w:proofErr w:type="gramEnd"/>
      <w:r w:rsidRPr="00F874B0">
        <w:rPr>
          <w:rFonts w:ascii="Times New Roman" w:hAnsi="Times New Roman" w:cs="Times New Roman"/>
          <w:sz w:val="24"/>
          <w:szCs w:val="24"/>
        </w:rPr>
        <w:t>, illetve korábban szerzett érdemjegyek elismerése). Ezek a képzések ugyanakkor csak leegyszerűsítik a képzés elvégzését, amelyhez időnként egyszerűsített hálóterv is kapcsolódik. Ezáltal tehát bár látszólag határterületeket átívelő, a gyakorlatban mégis inkább csak áttekintő jellegű képzések jönnek létre. Időtávját tekintve értékes megoldás lehet a munkáltató tovább képzéséhez, azonban az élethosszig tartó tanulás koncepciójában csak részmegoldásként jöhet szóba.</w:t>
      </w:r>
    </w:p>
    <w:p w:rsidR="00F874B0" w:rsidRPr="00F874B0" w:rsidRDefault="00F874B0" w:rsidP="00584A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 xml:space="preserve">A távoktatási programok keretében ugyan jobban alkalmazkodni tud a képzőhely a hallgatók azon igényéhez, hogy időszakosan kelljen személyesen megjelenni, azonban a képzések köre és a távoktatási tananyagok módszertanának problémái szintén korlátozzák a képzési forma sikerességét. Az elmúlt években komoly </w:t>
      </w:r>
      <w:proofErr w:type="spellStart"/>
      <w:r w:rsidRPr="00F874B0">
        <w:rPr>
          <w:rFonts w:ascii="Times New Roman" w:hAnsi="Times New Roman" w:cs="Times New Roman"/>
          <w:sz w:val="24"/>
          <w:szCs w:val="24"/>
        </w:rPr>
        <w:t>e-learning</w:t>
      </w:r>
      <w:proofErr w:type="spellEnd"/>
      <w:r w:rsidRPr="00F874B0">
        <w:rPr>
          <w:rFonts w:ascii="Times New Roman" w:hAnsi="Times New Roman" w:cs="Times New Roman"/>
          <w:sz w:val="24"/>
          <w:szCs w:val="24"/>
        </w:rPr>
        <w:t xml:space="preserve"> és digitális tananyag-fejlesztési programok történtek számos hazai felsőoktatási intézményben, ezek fenntartható finanszírozására azonban még nincs üzleti modell és jellemzően az alapvető, széles kört érintő tudásanyag elérésére jelenthetnek csak minőségi megújulást.</w:t>
      </w:r>
    </w:p>
    <w:p w:rsidR="00F874B0" w:rsidRPr="00F874B0" w:rsidRDefault="00F874B0" w:rsidP="00584A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Az elmúlt években megjelent és lassan terjedni kezdett egy, a távoktatási formához igen hasonló képzési forma. Az ún. „</w:t>
      </w:r>
      <w:proofErr w:type="spellStart"/>
      <w:r w:rsidRPr="00F874B0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Pr="00F874B0">
        <w:rPr>
          <w:rFonts w:ascii="Times New Roman" w:hAnsi="Times New Roman" w:cs="Times New Roman"/>
          <w:sz w:val="24"/>
          <w:szCs w:val="24"/>
        </w:rPr>
        <w:t xml:space="preserve"> Open Online </w:t>
      </w:r>
      <w:proofErr w:type="spellStart"/>
      <w:r w:rsidRPr="00F874B0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F874B0">
        <w:rPr>
          <w:rFonts w:ascii="Times New Roman" w:hAnsi="Times New Roman" w:cs="Times New Roman"/>
          <w:sz w:val="24"/>
          <w:szCs w:val="24"/>
        </w:rPr>
        <w:t>” (MOOC) egy tudatosan egymásra épülő, 20-30 perces oktatási részekből álló, interneten bárki számára elérhető képzési lehetőség. Technológiai értelemben nem jelent újdonságot, azonban az egymásra épülő jelleg és megfelelő vizualizáció alkalmassá teheti a kiegészítő tudáselemek elérésére az érdeklődőket. A MOOC egy ingyenes képzési lehetőség, amely erre a célra létrehozott tudásmegosztó portálokon keresztül a világon bárhonnan elérhető, amennyiben azonban az egyén a képzésről dokumentumot kér, akkor egyszeri, kis összegű díjat kell megtérítenie online fizetéssel a képzőhely részére.</w:t>
      </w:r>
    </w:p>
    <w:p w:rsidR="00F874B0" w:rsidRPr="00F874B0" w:rsidRDefault="00F874B0" w:rsidP="00584A76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ábra: Az oktatás fejlődése az online lehetőségek megjelenésével</w:t>
      </w:r>
    </w:p>
    <w:p w:rsidR="00F874B0" w:rsidRPr="00F874B0" w:rsidRDefault="00F874B0" w:rsidP="00584A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692AE139" wp14:editId="2D0F44EA">
            <wp:extent cx="5762625" cy="30670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B0" w:rsidRPr="00BC246C" w:rsidRDefault="00F874B0" w:rsidP="00584A7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246C">
        <w:rPr>
          <w:rFonts w:ascii="Times New Roman" w:hAnsi="Times New Roman" w:cs="Times New Roman"/>
          <w:sz w:val="20"/>
          <w:szCs w:val="20"/>
        </w:rPr>
        <w:t xml:space="preserve">Forrás: Masters, K. </w:t>
      </w:r>
      <w:r w:rsidRPr="00BC246C">
        <w:rPr>
          <w:rFonts w:ascii="Times New Roman" w:hAnsi="Times New Roman" w:cs="Times New Roman"/>
          <w:sz w:val="20"/>
          <w:szCs w:val="20"/>
          <w:lang w:val="en-US"/>
        </w:rPr>
        <w:t xml:space="preserve"> A Brief Guide </w:t>
      </w:r>
      <w:proofErr w:type="gramStart"/>
      <w:r w:rsidRPr="00BC246C"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 w:rsidRPr="00BC246C">
        <w:rPr>
          <w:rFonts w:ascii="Times New Roman" w:hAnsi="Times New Roman" w:cs="Times New Roman"/>
          <w:sz w:val="20"/>
          <w:szCs w:val="20"/>
          <w:lang w:val="en-US"/>
        </w:rPr>
        <w:t xml:space="preserve"> Understanding MOOCs. </w:t>
      </w:r>
      <w:r w:rsidRPr="00BC246C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Internet Journal of Medical Education</w:t>
      </w:r>
      <w:r w:rsidRPr="00BC246C">
        <w:rPr>
          <w:rFonts w:ascii="Times New Roman" w:hAnsi="Times New Roman" w:cs="Times New Roman"/>
          <w:sz w:val="20"/>
          <w:szCs w:val="20"/>
          <w:lang w:val="en-US"/>
        </w:rPr>
        <w:t>. 2011 Volume 1 Number 2</w:t>
      </w:r>
    </w:p>
    <w:p w:rsidR="00F874B0" w:rsidRPr="00F874B0" w:rsidRDefault="00F874B0" w:rsidP="00584A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A MOOC az online elérés és a minőségi tudás biztosítása révén olyan kritikus tömeget tud vonzani az adott intézményhez, amely fenntartható működést, ezáltal kiváló minőséget tud biztosítani.</w:t>
      </w:r>
    </w:p>
    <w:p w:rsidR="00F874B0" w:rsidRPr="00F874B0" w:rsidRDefault="00F874B0" w:rsidP="00584A76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ábra: A MOOC koncepciója</w:t>
      </w:r>
    </w:p>
    <w:p w:rsidR="00F874B0" w:rsidRPr="00F874B0" w:rsidRDefault="00F874B0" w:rsidP="00584A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DD38C7D" wp14:editId="77C17C30">
            <wp:extent cx="5753100" cy="3343275"/>
            <wp:effectExtent l="0" t="0" r="0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B0" w:rsidRPr="00BC246C" w:rsidRDefault="00F874B0" w:rsidP="00584A7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246C">
        <w:rPr>
          <w:rFonts w:ascii="Times New Roman" w:hAnsi="Times New Roman" w:cs="Times New Roman"/>
          <w:sz w:val="20"/>
          <w:szCs w:val="20"/>
        </w:rPr>
        <w:t xml:space="preserve">Forrás: Masters, K. </w:t>
      </w:r>
      <w:r w:rsidRPr="00BC246C">
        <w:rPr>
          <w:rFonts w:ascii="Times New Roman" w:hAnsi="Times New Roman" w:cs="Times New Roman"/>
          <w:sz w:val="20"/>
          <w:szCs w:val="20"/>
          <w:lang w:val="en-US"/>
        </w:rPr>
        <w:t xml:space="preserve"> A Brief Guide </w:t>
      </w:r>
      <w:proofErr w:type="gramStart"/>
      <w:r w:rsidRPr="00BC246C"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 w:rsidRPr="00BC246C">
        <w:rPr>
          <w:rFonts w:ascii="Times New Roman" w:hAnsi="Times New Roman" w:cs="Times New Roman"/>
          <w:sz w:val="20"/>
          <w:szCs w:val="20"/>
          <w:lang w:val="en-US"/>
        </w:rPr>
        <w:t xml:space="preserve"> Understanding MOOCs. </w:t>
      </w:r>
      <w:r w:rsidRPr="00BC246C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Internet Journal of Medical Education</w:t>
      </w:r>
      <w:r w:rsidRPr="00BC246C">
        <w:rPr>
          <w:rFonts w:ascii="Times New Roman" w:hAnsi="Times New Roman" w:cs="Times New Roman"/>
          <w:sz w:val="20"/>
          <w:szCs w:val="20"/>
          <w:lang w:val="en-US"/>
        </w:rPr>
        <w:t>. 2011 Volume 1 Number 2</w:t>
      </w:r>
    </w:p>
    <w:p w:rsidR="00F874B0" w:rsidRPr="00F874B0" w:rsidRDefault="00F874B0" w:rsidP="00584A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 xml:space="preserve">A MOOC segítségével a legszínvonalasabb egyetemek legszínvonalasabb képzéseihez lehet hozzáférni teljesen ingyenesen. Figyelembe véve, hogy a gazdagabb országok piaci alapon működő intézményeiben – bizonyos </w:t>
      </w:r>
      <w:proofErr w:type="gramStart"/>
      <w:r w:rsidRPr="00F874B0">
        <w:rPr>
          <w:rFonts w:ascii="Times New Roman" w:hAnsi="Times New Roman" w:cs="Times New Roman"/>
          <w:sz w:val="24"/>
          <w:szCs w:val="24"/>
        </w:rPr>
        <w:t>esetekben</w:t>
      </w:r>
      <w:proofErr w:type="gramEnd"/>
      <w:r w:rsidRPr="00F874B0">
        <w:rPr>
          <w:rFonts w:ascii="Times New Roman" w:hAnsi="Times New Roman" w:cs="Times New Roman"/>
          <w:sz w:val="24"/>
          <w:szCs w:val="24"/>
        </w:rPr>
        <w:t xml:space="preserve"> nagyvállalataiban! – milyen tudásbeli értékek halmozódnak fel időről időre, úgy gondoljuk, a MOOC kurzusok tudatos megválasztása és </w:t>
      </w:r>
      <w:r w:rsidRPr="00F874B0">
        <w:rPr>
          <w:rFonts w:ascii="Times New Roman" w:hAnsi="Times New Roman" w:cs="Times New Roman"/>
          <w:sz w:val="24"/>
          <w:szCs w:val="24"/>
        </w:rPr>
        <w:lastRenderedPageBreak/>
        <w:t>rendszeres látogatása a kutatói stáb szakmai fejlődésének megfelelő eleme lehet az egyébként már ismert tudományos konferenciákon túl.</w:t>
      </w:r>
    </w:p>
    <w:p w:rsidR="00F874B0" w:rsidRPr="00F874B0" w:rsidRDefault="00F874B0" w:rsidP="00584A76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ábra: A legfontosabb MOOC képzőhelyek szolgáltatási portfoliójának összegzése</w:t>
      </w:r>
    </w:p>
    <w:p w:rsidR="00F874B0" w:rsidRPr="00F874B0" w:rsidRDefault="00F874B0" w:rsidP="00584A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4C6230A" wp14:editId="503B1C29">
            <wp:extent cx="5753100" cy="30480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B0" w:rsidRPr="00BC246C" w:rsidRDefault="00F874B0" w:rsidP="00584A76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246C">
        <w:rPr>
          <w:rFonts w:ascii="Times New Roman" w:hAnsi="Times New Roman" w:cs="Times New Roman"/>
          <w:sz w:val="20"/>
          <w:szCs w:val="20"/>
        </w:rPr>
        <w:t xml:space="preserve">Forrás: Masters, K. </w:t>
      </w:r>
      <w:r w:rsidRPr="00BC246C">
        <w:rPr>
          <w:rFonts w:ascii="Times New Roman" w:hAnsi="Times New Roman" w:cs="Times New Roman"/>
          <w:sz w:val="20"/>
          <w:szCs w:val="20"/>
          <w:lang w:val="en-US"/>
        </w:rPr>
        <w:t xml:space="preserve"> A Brief Guide </w:t>
      </w:r>
      <w:proofErr w:type="gramStart"/>
      <w:r w:rsidRPr="00BC246C"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 w:rsidRPr="00BC246C">
        <w:rPr>
          <w:rFonts w:ascii="Times New Roman" w:hAnsi="Times New Roman" w:cs="Times New Roman"/>
          <w:sz w:val="20"/>
          <w:szCs w:val="20"/>
          <w:lang w:val="en-US"/>
        </w:rPr>
        <w:t xml:space="preserve"> Understanding MOOCs. </w:t>
      </w:r>
      <w:r w:rsidRPr="00BC246C">
        <w:rPr>
          <w:rFonts w:ascii="Times New Roman" w:hAnsi="Times New Roman" w:cs="Times New Roman"/>
          <w:i/>
          <w:iCs/>
          <w:sz w:val="20"/>
          <w:szCs w:val="20"/>
          <w:lang w:val="en-US"/>
        </w:rPr>
        <w:t>The Internet Journal of Medical Education</w:t>
      </w:r>
      <w:r w:rsidRPr="00BC246C">
        <w:rPr>
          <w:rFonts w:ascii="Times New Roman" w:hAnsi="Times New Roman" w:cs="Times New Roman"/>
          <w:sz w:val="20"/>
          <w:szCs w:val="20"/>
          <w:lang w:val="en-US"/>
        </w:rPr>
        <w:t>. 2011 Volume 1 Number 2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4B0" w:rsidRDefault="00A916C8" w:rsidP="00584A76">
      <w:pPr>
        <w:pStyle w:val="Cmsor2"/>
      </w:pPr>
      <w:r>
        <w:t xml:space="preserve">7.2.5. </w:t>
      </w:r>
      <w:r w:rsidR="00F874B0" w:rsidRPr="00A916C8">
        <w:t>Az állam szerepe a szociális politikában</w:t>
      </w:r>
    </w:p>
    <w:p w:rsidR="00A916C8" w:rsidRPr="00A916C8" w:rsidRDefault="00A916C8" w:rsidP="00584A76">
      <w:pPr>
        <w:spacing w:after="0"/>
      </w:pP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Az állam jóléti szerepvállalása az államháztartás szintjén a jóléti kiadásokban ölt testet. A jóléti kiadások körébe nemzetközi definíció alapján az oktatásra, egészségügyre, nyugdíjakra, az egyéb társadalombiztosítási ellátásokra, a munkanélküliek támogatására, a személyes szolgáltatásokra, valamint a hátrányos helyzetűek segítésére irányuló jövedelmi programokra fordított összegeket szokták sorolni.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Ezek közül a szociálpolitika körébe tartoznak azok a támogatások, amelyek valamilyen meglévő társadalmi hátrányt kívánnak mérsékelni, illetve kompenzálni. Ilyen hátrányok igen sokféle okból fakadhatnak, és nem szűkíthetőek le a jövedelem hiányára, a szegénységre. Valamilyen betegség, fogyatékosság megléte, vagy több gyermek vállalása is okozhat szociálisan hátrányos helyzetet, amit a társadalom méltánylandónak tart kompenzálni.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Forrásoldalról a szociálpolitika körébe tartozás szükséges, de nem elégséges feltétele az, hogy adóból finanszírozott ellátás legyen. Bár a biztosítási elvű ellátásoknak – táppénz, nyugdíj, munkanélküli-járadék – fontos szerepük van a lakosság szociális helyzetének alakulásában, nem tekinthetők szociális ellátásoknak, mert igénybevételük előzetes járulékfizetéshez kötődik, így az igénybe vevők befizetéseiből kerül sor a finanszírozásra.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 xml:space="preserve">A szociálpolitikai juttatások bőkezűségére, szervezésére vonatkozóan többféle megközelítési elv lehetséges. A liberális megközelítés szerint a szűkös források elosztásánál a rászorultságot kell előtérbe helyezni, a támogatásoknál a társadalom alsó jövedelmi rétegeit részesíteni előnyben – fő cél a szegénység felszámolása. Ugyanakkor az erre irányuló vizsgálatok kimutatták, hogy a teherviselő, adózó állampolgárok sokkal szolidárisabbak, ha a szociális rendszer előnyeiből ők is részesülnek. Emellett azok az ellátások, amelyek a lakosság széles körét érintik, kevésbé </w:t>
      </w:r>
      <w:proofErr w:type="spellStart"/>
      <w:r w:rsidRPr="00F874B0">
        <w:rPr>
          <w:rFonts w:ascii="Times New Roman" w:hAnsi="Times New Roman" w:cs="Times New Roman"/>
          <w:sz w:val="24"/>
          <w:szCs w:val="24"/>
        </w:rPr>
        <w:t>stigmatizáló</w:t>
      </w:r>
      <w:proofErr w:type="spellEnd"/>
      <w:r w:rsidRPr="00F874B0">
        <w:rPr>
          <w:rFonts w:ascii="Times New Roman" w:hAnsi="Times New Roman" w:cs="Times New Roman"/>
          <w:sz w:val="24"/>
          <w:szCs w:val="24"/>
        </w:rPr>
        <w:t xml:space="preserve"> hatásúak, így a szegények szemszögéből is kedvezőbbek.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lastRenderedPageBreak/>
        <w:t>A társadalmi kohézió megőrzése miatt a szociálpolitika nem szűkíthető le szegénypolitikára. Eszköztárának mindig kell alkalmaznia olyan elemeket, amelyek a prevenciót, a felzárkóztatást biztosítják, a rászorultság helyett a méltányosságot helyezik előtérbe. Ellenkező esetben a társadalomban szakadás következhet be a szociális ellátásokat finanszírozók és annak előnyeit élvezők táborában, és könnyen előáll a szegénységi csapda, amely akadályozója lesz a hátrányos helyzetből való kikerülésre tett erőfeszítéseknek. A társadalom összes tagjának a jóléte akkor növekedhet, ha a szociálpolitika nem a hátrányos helyzet konzerválását, hanem a kiemelkedés általi megszűnését segíti elő.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 xml:space="preserve">A fenti elvnek megfelelő szociálpolitika tartalmaz univerzális (alanyi) jogosultságú ellátásokat és jövedelmi helyzettől függő, </w:t>
      </w:r>
      <w:proofErr w:type="spellStart"/>
      <w:r w:rsidRPr="00F874B0">
        <w:rPr>
          <w:rFonts w:ascii="Times New Roman" w:hAnsi="Times New Roman" w:cs="Times New Roman"/>
          <w:sz w:val="24"/>
          <w:szCs w:val="24"/>
        </w:rPr>
        <w:t>rászorultsági</w:t>
      </w:r>
      <w:proofErr w:type="spellEnd"/>
      <w:r w:rsidRPr="00F874B0">
        <w:rPr>
          <w:rFonts w:ascii="Times New Roman" w:hAnsi="Times New Roman" w:cs="Times New Roman"/>
          <w:sz w:val="24"/>
          <w:szCs w:val="24"/>
        </w:rPr>
        <w:t xml:space="preserve"> elvű ellátásokat. Univerzálisak azok az ellátások, amelyek az állampolgárokat jövedelmi helyzetüktől függetlenül megilletik egy adott feltétel meglétekor. Ilyenek például a családtámogatások. Ezek a társadalom nagy csoportjait azonos feltételek mellett illetik meg. A jövedelem vizsgálatához kötött ellátásokra viszont csak a megélhetési problémával küzdő családok jogosultak. Ezen ellátások összefoglaló neve a segélyezés.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A szociális ellátások központi vagy decentralizált (önkormányzati) szervezése és finanszírozása komoly dilemmát jelent, mert mindkét megoldás mellett szólnak érvek. A központi szabályozás, finanszírozás és szolgáltatás előnye az egységes ellátási szint megvalósulása – az egyének, családok által igénybe vehető ellátás nem függ az önkormányzat pénzügyi helyzetétől. Ugyanakkor az egyéni helyzet ismerete és az ahhoz kapcsolódó támogatás biztosítása csak települési szinten lehetséges. A két szempont összeegyeztetése a központi és a helyi hatalom közötti feladatmegosztás révén valósul meg.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Az alanyi ellátások forrásait általában a központi költségvetés tartalmazza, így a teherviselő egyedül a központi állam. Az ellátások igénylése és folyósítása is központilag történik, pontosabban országos hálózattal rendelkező igazgatási szerv útján, jelenleg a területi államháztartási hivatalokban.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874B0">
        <w:rPr>
          <w:rFonts w:ascii="Times New Roman" w:hAnsi="Times New Roman" w:cs="Times New Roman"/>
          <w:sz w:val="24"/>
          <w:szCs w:val="24"/>
        </w:rPr>
        <w:t>rászorultsági</w:t>
      </w:r>
      <w:proofErr w:type="spellEnd"/>
      <w:r w:rsidRPr="00F874B0">
        <w:rPr>
          <w:rFonts w:ascii="Times New Roman" w:hAnsi="Times New Roman" w:cs="Times New Roman"/>
          <w:sz w:val="24"/>
          <w:szCs w:val="24"/>
        </w:rPr>
        <w:t xml:space="preserve"> típusú ellátásoknál a pénzügyi tehervállalás megoszlik a központi állami és a helyi önkormányzatok között. A szükséges forrásokat az önkormányzati költségvetésben tervezik, amelyhez az állami költségvetés támogatást nyújt. Az ellátások igénylése és folyósítása települési szinten valósul meg.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A szociálpolitika eszköztárának a legtöbb országban, így hazánkban is része az adókedvezmény, ami az állami költségvetés szempontjából nem kiadást, hanem bevételkiesést jelent. A szociális céllal biztosított adókedvezmények szerves részét képezik a támogató rendszernek, egy ország szociálpolitikája csak az adókedvezményekkel együtt ítélhető meg.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4B0">
        <w:rPr>
          <w:rFonts w:ascii="Times New Roman" w:hAnsi="Times New Roman" w:cs="Times New Roman"/>
          <w:sz w:val="24"/>
          <w:szCs w:val="24"/>
        </w:rPr>
        <w:t>A szociálpolitikát nemcsak a fenti ismérvek szerint lehet vizsgálódás alá vonni, hanem aszerint is, hogy a lakosság mely rétegét érinti. Mivel a szociálpolitikára épp azért van szükség, mert kora, egészségi állapota vagy egyéb ok miatt nem tud mindenki egyenlő eséllyel részt venni a gazdasági tevékenységben, a támogatások eltérő mértékben érintik a lakosság különböző rétegeit. Nagyobb arányban részesednek a forrásokból az idősek, a gyermekek, a betegek, a munkaképtelenek és a munkanélküliek. Ennek alapján a szociálpolitikán belül beszélhetünk családok, fogyatékosok stb. támogatási rendszeréről.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32D" w:rsidRPr="00A916C8" w:rsidRDefault="00A916C8" w:rsidP="00584A76">
      <w:pPr>
        <w:pStyle w:val="Cmsor2"/>
        <w:jc w:val="both"/>
      </w:pPr>
      <w:r>
        <w:t xml:space="preserve">7.2.6. </w:t>
      </w:r>
      <w:r w:rsidR="00F874B0" w:rsidRPr="00A916C8">
        <w:t>Az a</w:t>
      </w:r>
      <w:r w:rsidR="0077432D" w:rsidRPr="00A916C8">
        <w:t>lapfokú oktatási és szociális ellátási feladatok átvétele</w:t>
      </w:r>
      <w:r w:rsidR="00F874B0" w:rsidRPr="00A916C8">
        <w:t xml:space="preserve"> a helyi önkormányzatoktól</w:t>
      </w:r>
    </w:p>
    <w:p w:rsidR="00F874B0" w:rsidRPr="00BC246C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4B0" w:rsidRPr="00BC246C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246C">
        <w:rPr>
          <w:rFonts w:ascii="Times New Roman" w:hAnsi="Times New Roman" w:cs="Times New Roman"/>
          <w:sz w:val="24"/>
          <w:szCs w:val="24"/>
        </w:rPr>
        <w:lastRenderedPageBreak/>
        <w:t xml:space="preserve">Az Országgyűlés 2011-ben új </w:t>
      </w:r>
      <w:r w:rsidR="00BC246C" w:rsidRPr="00BC246C">
        <w:rPr>
          <w:rFonts w:ascii="Times New Roman" w:hAnsi="Times New Roman" w:cs="Times New Roman"/>
          <w:sz w:val="24"/>
          <w:szCs w:val="24"/>
        </w:rPr>
        <w:t>törvényt</w:t>
      </w:r>
      <w:r w:rsidRPr="00BC246C">
        <w:rPr>
          <w:rFonts w:ascii="Times New Roman" w:hAnsi="Times New Roman" w:cs="Times New Roman"/>
          <w:sz w:val="24"/>
          <w:szCs w:val="24"/>
        </w:rPr>
        <w:t xml:space="preserve"> alkotott a nemzeti köznevelésről (2011. évi CXC. törvény), a felsőoktatásról (2011. évi CCIV. törvény) és a szakképzésről</w:t>
      </w:r>
      <w:r w:rsidR="00BC246C" w:rsidRPr="00BC246C">
        <w:rPr>
          <w:rFonts w:ascii="Times New Roman" w:hAnsi="Times New Roman" w:cs="Times New Roman"/>
          <w:sz w:val="24"/>
          <w:szCs w:val="24"/>
        </w:rPr>
        <w:t xml:space="preserve"> (2011. évi CLXXXVII. törvény), amely jogszabályok az </w:t>
      </w:r>
      <w:r w:rsidRPr="00BC246C">
        <w:rPr>
          <w:rFonts w:ascii="Times New Roman" w:hAnsi="Times New Roman" w:cs="Times New Roman"/>
          <w:sz w:val="24"/>
          <w:szCs w:val="24"/>
        </w:rPr>
        <w:t>oktatás szervezését, fenntartását, finanszírozását és irányítását jelentősen átalakították.</w:t>
      </w:r>
    </w:p>
    <w:p w:rsidR="00F874B0" w:rsidRDefault="00F874B0" w:rsidP="00584A76">
      <w:pPr>
        <w:pStyle w:val="NormlWeb"/>
        <w:spacing w:after="0" w:afterAutospacing="0"/>
        <w:jc w:val="both"/>
      </w:pPr>
      <w:r w:rsidRPr="00BC246C">
        <w:t>Az új köznevelési törvény az iskolafenntartás és a tartalmi irányítás nagyfokú decentralizáltságát megszüntette. 2013-ban az az alap- és középfokú oktatás megszervezését a települési önkormányzatoktól egy központ</w:t>
      </w:r>
      <w:r w:rsidR="00BC246C" w:rsidRPr="00BC246C">
        <w:t xml:space="preserve">i intézményfenntartó intézmény, a </w:t>
      </w:r>
      <w:r w:rsidRPr="00BC246C">
        <w:t>Klebels</w:t>
      </w:r>
      <w:r w:rsidR="00BC246C" w:rsidRPr="00BC246C">
        <w:t>berg</w:t>
      </w:r>
      <w:r w:rsidR="00BC246C">
        <w:t xml:space="preserve"> Intézményfenntartó Központ</w:t>
      </w:r>
      <w:r>
        <w:t xml:space="preserve"> és az irányítása alatt működő tankerületek vették át. Az óvodák fenntartása a helyi önkormányzatok feladata maradt. Ugyanakkor köznevelési intézményeket – az állami szervek mellett –</w:t>
      </w:r>
      <w:r w:rsidR="00BC246C">
        <w:t xml:space="preserve"> </w:t>
      </w:r>
      <w:r>
        <w:t>egyházak, gazdálkodó szervek, alapítványok, egyesületek, kisebbségi önkormányzatok, magánszemélyek is alapíthatnak.  Az oktatásban és nevelésben a részvétel 3 és 16 év között kötelező.</w:t>
      </w:r>
    </w:p>
    <w:p w:rsidR="00F874B0" w:rsidRDefault="00F874B0" w:rsidP="00584A76">
      <w:pPr>
        <w:pStyle w:val="NormlWeb"/>
        <w:spacing w:after="0" w:afterAutospacing="0"/>
        <w:jc w:val="both"/>
      </w:pPr>
      <w:r>
        <w:t xml:space="preserve">A </w:t>
      </w:r>
      <w:r w:rsidR="00BC246C">
        <w:t>2011-ben elfogadott s</w:t>
      </w:r>
      <w:r>
        <w:t>zakképzési törvény megerősítette a duális szakképzést</w:t>
      </w:r>
      <w:r w:rsidR="00BC246C">
        <w:rPr>
          <w:rStyle w:val="Lbjegyzet-hivatkozs"/>
        </w:rPr>
        <w:footnoteReference w:id="1"/>
      </w:r>
      <w:r>
        <w:t xml:space="preserve"> és a gyakorlati képzés nagyobb hangsúlyt kapott. A szakképzés fő programjai 3, 4, ritkábban 5 évig tartanak. Az 5 éves szakgimnáziumi programok érettségivel való sikeres elvégzése a felsőoktatásba való belépésre jogosít. A 3 éves szakképzés az Országos Képzési Jegyzékben szereplő, államilag elismert szakképesítésről szóló bizonyítvány kiadásával végződik, felsőoktatásba való belépésre nem jogosít.</w:t>
      </w:r>
    </w:p>
    <w:p w:rsidR="00F874B0" w:rsidRDefault="00F874B0" w:rsidP="00584A76">
      <w:pPr>
        <w:pStyle w:val="NormlWeb"/>
        <w:spacing w:after="0" w:afterAutospacing="0"/>
        <w:jc w:val="both"/>
      </w:pPr>
      <w:r>
        <w:t>A középfokú szakképzésben 2012-ig az önkormányzati fenntartók intézményeibe járt a diákok nagy többsége. A megyei önkormányzat által fenntartott iskolák 2012 elején, a települések által fenntartott iskolák 2013 januárjában állami fenntartásba kerültek, a mezőgazdasági szakképző iskolák többségét a Földművelésügyi Minisztérium tartja fenn. 2015-ben az állami fenntartású szakképzés az Emberi Erőforrás Minisztériumtól a Nemzetgazdasági Minisztérium fenntartásába került. 2016-ban megkezdődött az alapítványi sz</w:t>
      </w:r>
      <w:r w:rsidR="00BC246C">
        <w:t xml:space="preserve">akképző iskolák államosítása, a Nemzetgazdasági Minisztérium </w:t>
      </w:r>
      <w:r>
        <w:t>által kialakított szakképzési centrumokba integrálása.</w:t>
      </w:r>
    </w:p>
    <w:p w:rsidR="00F874B0" w:rsidRDefault="00F874B0" w:rsidP="00584A76">
      <w:pPr>
        <w:pStyle w:val="NormlWeb"/>
        <w:spacing w:after="0" w:afterAutospacing="0"/>
        <w:jc w:val="both"/>
      </w:pPr>
      <w:r>
        <w:t>Az általános oktatás ágazati irányítása és igazgatása a</w:t>
      </w:r>
      <w:r w:rsidR="00BC246C">
        <w:t>z Emberi Erőforrás Minisztérium</w:t>
      </w:r>
      <w:r>
        <w:t> </w:t>
      </w:r>
      <w:r w:rsidR="00BC246C">
        <w:t xml:space="preserve"> </w:t>
      </w:r>
      <w:r>
        <w:t>alá esik (az oktatás mellett ide tartozik a kultúra, szociális ügyek, egészségügy, ifjúság és sport), míg a szakképzés és felnőttképzés a </w:t>
      </w:r>
      <w:r w:rsidR="00BC246C">
        <w:t>Nemzetgazdasági Minisztérium illetékességi</w:t>
      </w:r>
      <w:r>
        <w:t xml:space="preserve"> köre.</w:t>
      </w:r>
    </w:p>
    <w:p w:rsidR="00F874B0" w:rsidRPr="00A916C8" w:rsidRDefault="00A916C8" w:rsidP="00584A76">
      <w:pPr>
        <w:pStyle w:val="Cmsor2"/>
        <w:jc w:val="both"/>
      </w:pPr>
      <w:r w:rsidRPr="00A916C8">
        <w:rPr>
          <w:bCs/>
        </w:rPr>
        <w:t xml:space="preserve">7.2.7. </w:t>
      </w:r>
      <w:r w:rsidR="00F874B0" w:rsidRPr="00A916C8">
        <w:rPr>
          <w:bCs/>
        </w:rPr>
        <w:t>Felsőoktatás</w:t>
      </w:r>
    </w:p>
    <w:p w:rsidR="00F874B0" w:rsidRDefault="00F874B0" w:rsidP="00584A76">
      <w:pPr>
        <w:pStyle w:val="NormlWeb"/>
        <w:spacing w:after="0" w:afterAutospacing="0"/>
        <w:jc w:val="both"/>
      </w:pPr>
      <w:r>
        <w:t xml:space="preserve">A nemzeti felsőoktatás célja, a versenyképes tudás átadásával, a közjót szolgálva, a nemzet szellemi és gazdasági fejlődésének biztosítása, átlátható, versenyképes, elméleti és gyakorlati oktatás nyújtása, tudományos alap- és alkalmazott kutatást végzése, az innováció, továbbá az oktatói-kutatói utánpótlás nevelése. A felsőoktatást ágazati törvény szabályozza, amelyhez végrehajtási kormányrendeletek kapcsolódnak. Ezek tartalmazzák a felsőoktatás működésére vonatkozó fontosabb előírásokat és szabályokat. Ezekhez számos további, részszabályokat megállapító kormányrendelet és miniszteri rendelet kapcsolódik. A felsőoktatási intézmények önállóak, önállóságuk elsődlegesen az oktatási, tudományos, kutatási tevékenységre terjed ki. A felsőoktatás ágazati irányításában kulcsszerepet játszik a kormány és a felsőoktatásért felelős </w:t>
      </w:r>
      <w:r>
        <w:lastRenderedPageBreak/>
        <w:t>miniszter, amely szervezési, fejlesztési, törvényességi ellenőrzési feladatokat lát el, továbbá – az állami felsőoktatási intézmények vonatkozásában – fenntartói jogokat gyakorol.</w:t>
      </w:r>
    </w:p>
    <w:p w:rsidR="00F874B0" w:rsidRDefault="00F874B0" w:rsidP="00584A76">
      <w:pPr>
        <w:pStyle w:val="NormlWeb"/>
        <w:spacing w:after="0" w:afterAutospacing="0"/>
        <w:jc w:val="both"/>
      </w:pPr>
      <w:r>
        <w:t>Magyar felsőoktatási intézményt önállóan vagy más jogosulttal együttesen a magyar állam, országos nemzetiségi önkormányzat, egyházi jogi személy, Magyarország területén székhellyel rendelkező gazdasági társaság és Magyarországon nyilvántartásba vett alapítvány, közalapítvány vagy vallási tevékenységet végző szervezet, továbbá - a törvény által meghatározott esetekben a rendszeres nemzetközi támogatással működtetett magán felsőoktatási intézmény alapítói, fenntartói jogait gyakorló - fenntartó testület alapíthat. Aki az alapítói jogot gyakorolja, ellátja a felsőoktatási intézmény fenntartásával kapcsolatos feladatokat. A felsőoktatási intézmény az országgyűlés hatáskörébe tartozó állami elismeréssel jön létre. A felsőoktatás ágazati irányításáért az Emberi Erőforrás Miniszter a felelős.</w:t>
      </w:r>
    </w:p>
    <w:p w:rsidR="00F874B0" w:rsidRDefault="00F874B0" w:rsidP="00584A76">
      <w:pPr>
        <w:pStyle w:val="NormlWeb"/>
        <w:spacing w:after="0" w:afterAutospacing="0"/>
        <w:jc w:val="both"/>
      </w:pPr>
      <w:r>
        <w:t> </w:t>
      </w:r>
    </w:p>
    <w:p w:rsidR="00F874B0" w:rsidRPr="00A916C8" w:rsidRDefault="00A916C8" w:rsidP="00584A76">
      <w:pPr>
        <w:pStyle w:val="Cmsor2"/>
        <w:jc w:val="both"/>
        <w:rPr>
          <w:bCs/>
        </w:rPr>
      </w:pPr>
      <w:r w:rsidRPr="00A916C8">
        <w:t xml:space="preserve">7.2.8. </w:t>
      </w:r>
      <w:r w:rsidR="00F874B0" w:rsidRPr="00A916C8">
        <w:t>Felnőttképzés</w:t>
      </w:r>
    </w:p>
    <w:p w:rsidR="00F874B0" w:rsidRDefault="00F874B0" w:rsidP="00584A76">
      <w:pPr>
        <w:pStyle w:val="NormlWeb"/>
        <w:spacing w:after="0" w:afterAutospacing="0"/>
        <w:jc w:val="both"/>
      </w:pPr>
      <w:r>
        <w:t>A 2013. évi LXXVII. felnőttképzési törvény szerint a felnőttképzés célja, „hogy a hazánkban élő személyek meg tudjanak felelni a gazdasági, kulturális és technológiai fejlődés kihívásainak, eredményesen kapcsolódhassanak be a munka világába, sikeresek lehessenek életük során, és a felnőttkori tanulás és képzés segítségével az életvitel minősége javulhasson, szükség van a szakmai, a nyelvi és a támogatott képzések szervezettségének növelésére, tartalmuk minőségének és megvalósításuk ellenőrzésének erősítésére”.</w:t>
      </w:r>
    </w:p>
    <w:p w:rsidR="00F874B0" w:rsidRPr="00BC246C" w:rsidRDefault="00F874B0" w:rsidP="00584A76">
      <w:pPr>
        <w:pStyle w:val="NormlWeb"/>
        <w:spacing w:after="0" w:afterAutospacing="0"/>
        <w:jc w:val="both"/>
      </w:pPr>
      <w:r>
        <w:t xml:space="preserve">A </w:t>
      </w:r>
      <w:proofErr w:type="spellStart"/>
      <w:r>
        <w:t>felnőttkorúak</w:t>
      </w:r>
      <w:proofErr w:type="spellEnd"/>
      <w:r>
        <w:t xml:space="preserve"> tanulása két szektorban szerveződik. A </w:t>
      </w:r>
      <w:r>
        <w:rPr>
          <w:u w:val="single"/>
        </w:rPr>
        <w:t>felnőttoktatás </w:t>
      </w:r>
      <w:r>
        <w:t>kifejezést a felnőttek iskolarendszerű oktatására használják. Mivel ez a tevékenység alapvetően a köznevelés intézményeiben szerveződik, a köznevelési törvény szabályozza (2011. évi CXC. törvény). A felnőttek felsőoktatásban folyó képzése a felsőoktatási törvény hatálya alá tartozik (2011. évi CCIV. törvény). A </w:t>
      </w:r>
      <w:r>
        <w:rPr>
          <w:u w:val="single"/>
        </w:rPr>
        <w:t>felnőttképzés </w:t>
      </w:r>
      <w:r>
        <w:t xml:space="preserve">kifejezés a felnőttek iskolarendszeren kívül folyó tanulásának szervezésére vonatkozik. A hatályos felnőttképzési törvény (2013. évi LXXVII. tv.) </w:t>
      </w:r>
      <w:r w:rsidRPr="00BC246C">
        <w:t>szabályozza. A magyarországi felnőttoktatás és felnőttképzés funkciója is alapvetően kettős:</w:t>
      </w:r>
    </w:p>
    <w:p w:rsidR="00F874B0" w:rsidRPr="00BC246C" w:rsidRDefault="00F874B0" w:rsidP="00584A7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46C">
        <w:rPr>
          <w:rFonts w:ascii="Times New Roman" w:hAnsi="Times New Roman" w:cs="Times New Roman"/>
          <w:sz w:val="24"/>
          <w:szCs w:val="24"/>
        </w:rPr>
        <w:t>egyrészt szolgálja az úgynevezett második esélyt adó képzés megteremtését (ún. pótló funkció, például a hiányzó alapiskolai végezettség és/vagy az első szakképzettség megszerzését).</w:t>
      </w:r>
    </w:p>
    <w:p w:rsidR="00F874B0" w:rsidRPr="00BC246C" w:rsidRDefault="00F874B0" w:rsidP="00584A7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46C">
        <w:rPr>
          <w:rFonts w:ascii="Times New Roman" w:hAnsi="Times New Roman" w:cs="Times New Roman"/>
          <w:sz w:val="24"/>
          <w:szCs w:val="24"/>
        </w:rPr>
        <w:t>másrészt szolgálja a magasabb iskolai végzettség, illetve szakmai képzettség megszerzését, valamint a folyamatos szakmai továbbképzés megvalósítását.</w:t>
      </w:r>
    </w:p>
    <w:p w:rsidR="00F874B0" w:rsidRPr="00F874B0" w:rsidRDefault="00F874B0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32D" w:rsidRDefault="00A916C8" w:rsidP="00584A76">
      <w:pPr>
        <w:pStyle w:val="Cmsor2"/>
        <w:jc w:val="both"/>
      </w:pPr>
      <w:r>
        <w:t xml:space="preserve">7.2.9. </w:t>
      </w:r>
      <w:r w:rsidR="0077432D" w:rsidRPr="00A916C8">
        <w:t>A feladat alapú finanszírozás bevezetése</w:t>
      </w:r>
    </w:p>
    <w:p w:rsidR="00A916C8" w:rsidRPr="00A916C8" w:rsidRDefault="00A916C8" w:rsidP="00584A76">
      <w:pPr>
        <w:spacing w:after="0"/>
      </w:pPr>
    </w:p>
    <w:p w:rsidR="0077432D" w:rsidRDefault="00BC246C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2011-ben az államháztartás finanszírozásába</w:t>
      </w:r>
      <w:r w:rsidR="00032150">
        <w:rPr>
          <w:rFonts w:ascii="Times New Roman" w:hAnsi="Times New Roman" w:cs="Times New Roman"/>
          <w:sz w:val="24"/>
          <w:szCs w:val="24"/>
        </w:rPr>
        <w:t xml:space="preserve">n ismét jelentős lépés történt. </w:t>
      </w:r>
      <w:r>
        <w:rPr>
          <w:rFonts w:ascii="Times New Roman" w:hAnsi="Times New Roman" w:cs="Times New Roman"/>
          <w:sz w:val="24"/>
          <w:szCs w:val="24"/>
        </w:rPr>
        <w:t>A korábbi időszakban egyre bonyolultabb, egyre több korrekciós mechanizmust igénylő normatív finanszírozási rendszert felváltotta a feladat- vagy teljesítmény alapú finanszírozás</w:t>
      </w:r>
      <w:r w:rsidR="00032150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 Ennek kereteit a</w:t>
      </w:r>
      <w:r w:rsidR="0019168A">
        <w:rPr>
          <w:rFonts w:ascii="Times New Roman" w:hAnsi="Times New Roman" w:cs="Times New Roman"/>
          <w:sz w:val="24"/>
          <w:szCs w:val="24"/>
        </w:rPr>
        <w:t xml:space="preserve"> Magyarország helyi önkormányzatairól szóló 2011. évi CLXXXIX törvény mellett a</w:t>
      </w:r>
      <w:r>
        <w:rPr>
          <w:rFonts w:ascii="Times New Roman" w:hAnsi="Times New Roman" w:cs="Times New Roman"/>
          <w:sz w:val="24"/>
          <w:szCs w:val="24"/>
        </w:rPr>
        <w:t xml:space="preserve"> mindenkori éves költsé</w:t>
      </w:r>
      <w:r w:rsidR="0019168A">
        <w:rPr>
          <w:rFonts w:ascii="Times New Roman" w:hAnsi="Times New Roman" w:cs="Times New Roman"/>
          <w:sz w:val="24"/>
          <w:szCs w:val="24"/>
        </w:rPr>
        <w:t>gvetési törvény határozza meg. Ennek l</w:t>
      </w:r>
      <w:r>
        <w:rPr>
          <w:rFonts w:ascii="Times New Roman" w:hAnsi="Times New Roman" w:cs="Times New Roman"/>
          <w:sz w:val="24"/>
          <w:szCs w:val="24"/>
        </w:rPr>
        <w:t xml:space="preserve">ényege, hogy a meghatározott mennyiség alapján járó támogatást – amelynek alapegysége lehet a lakosok száma, ellátottak száma, stb. </w:t>
      </w:r>
      <w:r w:rsidR="0019168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68A">
        <w:rPr>
          <w:rFonts w:ascii="Times New Roman" w:hAnsi="Times New Roman" w:cs="Times New Roman"/>
          <w:sz w:val="24"/>
          <w:szCs w:val="24"/>
        </w:rPr>
        <w:t xml:space="preserve">a feladatok finanszírozási szükségletét jobban követő mechanizmus váltja fel (lásd. </w:t>
      </w:r>
      <w:proofErr w:type="gramStart"/>
      <w:r w:rsidR="0019168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9168A">
        <w:rPr>
          <w:rFonts w:ascii="Times New Roman" w:hAnsi="Times New Roman" w:cs="Times New Roman"/>
          <w:sz w:val="24"/>
          <w:szCs w:val="24"/>
        </w:rPr>
        <w:t xml:space="preserve"> nemzetközi szakirodalomban használt „</w:t>
      </w:r>
      <w:proofErr w:type="spellStart"/>
      <w:r w:rsidR="0019168A">
        <w:rPr>
          <w:rFonts w:ascii="Times New Roman" w:hAnsi="Times New Roman" w:cs="Times New Roman"/>
          <w:sz w:val="24"/>
          <w:szCs w:val="24"/>
        </w:rPr>
        <w:t>expenditure</w:t>
      </w:r>
      <w:proofErr w:type="spellEnd"/>
      <w:r w:rsidR="0019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68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19168A">
        <w:rPr>
          <w:rFonts w:ascii="Times New Roman" w:hAnsi="Times New Roman" w:cs="Times New Roman"/>
          <w:sz w:val="24"/>
          <w:szCs w:val="24"/>
        </w:rPr>
        <w:t>” vagy „</w:t>
      </w:r>
      <w:proofErr w:type="spellStart"/>
      <w:r w:rsidR="0019168A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="00191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68A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19168A">
        <w:rPr>
          <w:rFonts w:ascii="Times New Roman" w:hAnsi="Times New Roman" w:cs="Times New Roman"/>
          <w:sz w:val="24"/>
          <w:szCs w:val="24"/>
        </w:rPr>
        <w:t xml:space="preserve">” </w:t>
      </w:r>
      <w:r w:rsidR="0019168A">
        <w:rPr>
          <w:rFonts w:ascii="Times New Roman" w:hAnsi="Times New Roman" w:cs="Times New Roman"/>
          <w:sz w:val="24"/>
          <w:szCs w:val="24"/>
        </w:rPr>
        <w:lastRenderedPageBreak/>
        <w:t xml:space="preserve">fogalmak). Természetesen továbbra sem a teljes finanszírozási szükséglet támogatások formájában való finanszírozásáról (!), hanem </w:t>
      </w:r>
      <w:r w:rsidR="00032150">
        <w:rPr>
          <w:rFonts w:ascii="Times New Roman" w:hAnsi="Times New Roman" w:cs="Times New Roman"/>
          <w:sz w:val="24"/>
          <w:szCs w:val="24"/>
        </w:rPr>
        <w:t xml:space="preserve">csupán </w:t>
      </w:r>
      <w:r w:rsidR="0019168A">
        <w:rPr>
          <w:rFonts w:ascii="Times New Roman" w:hAnsi="Times New Roman" w:cs="Times New Roman"/>
          <w:sz w:val="24"/>
          <w:szCs w:val="24"/>
        </w:rPr>
        <w:t>arról van szó, hogy a mechanizmus révén a feladatellátáshoz szükséges források összességében rendelkezésre álljanak – a helyi önkormányzatoknál. Ez azt jelenti, hogy továbbra is egy 3 pilléres finanszírozási rendszer elemei közötti szoros kapcsolatról van szó.</w:t>
      </w:r>
    </w:p>
    <w:p w:rsidR="0019168A" w:rsidRDefault="0019168A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újítás lényege, hogy egy, a költségeket figyelembe vevő, hiteles adatszolgáltatáson alapuló támogatási mechanizmus keretében kapjanak forrásokat a helyi önkormányzatok. Teljes mértékben ugyanakkor nem szűnt meg a normatív finanszírozás, hiszen mutatószámok, illetve lakosságszám alapján megállapított normatív formában továbbra is kaphatnak forrásokat a helyi önkormányzatok.</w:t>
      </w:r>
    </w:p>
    <w:p w:rsidR="0019168A" w:rsidRDefault="0019168A" w:rsidP="00584A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168A" w:rsidRPr="00F874B0" w:rsidRDefault="004B511D" w:rsidP="00584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705A">
        <w:rPr>
          <w:noProof/>
          <w:lang w:eastAsia="hu-HU"/>
        </w:rPr>
        <w:lastRenderedPageBreak/>
        <w:drawing>
          <wp:inline distT="0" distB="0" distL="0" distR="0" wp14:anchorId="3AA2E089" wp14:editId="158CB805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="0019168A" w:rsidRPr="0019168A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72E08" wp14:editId="59CDAB4B">
                <wp:simplePos x="0" y="0"/>
                <wp:positionH relativeFrom="margin">
                  <wp:align>left</wp:align>
                </wp:positionH>
                <wp:positionV relativeFrom="paragraph">
                  <wp:posOffset>338455</wp:posOffset>
                </wp:positionV>
                <wp:extent cx="5743575" cy="573405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68A" w:rsidRPr="0019168A" w:rsidRDefault="0019168A" w:rsidP="0019168A">
                            <w:pPr>
                              <w:spacing w:before="100" w:beforeAutospacing="1" w:after="100" w:afterAutospacing="1"/>
                              <w:ind w:firstLine="2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68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117. §</w:t>
                            </w:r>
                            <w:r w:rsidRPr="0019168A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 * </w:t>
                            </w:r>
                            <w:r w:rsidRPr="0019168A">
                              <w:rPr>
                                <w:rFonts w:ascii="Times New Roman" w:hAnsi="Times New Roman" w:cs="Times New Roman"/>
                              </w:rPr>
                              <w:t>(1) A feladatfinanszírozási rendszer keretében az Országgyűlés a központi költségvetésről szóló törvényben meghatározott módon a helyi önkormányzatok</w:t>
                            </w:r>
                            <w:hyperlink r:id="rId12" w:anchor="lbj104idaf8d" w:history="1">
                              <w:r w:rsidRPr="0019168A">
                                <w:rPr>
                                  <w:rStyle w:val="Hiperhivatkozs"/>
                                  <w:rFonts w:ascii="Times New Roman" w:hAnsi="Times New Roman" w:cs="Times New Roman"/>
                                  <w:vertAlign w:val="superscript"/>
                                </w:rPr>
                                <w:t> * </w:t>
                              </w:r>
                            </w:hyperlink>
                          </w:p>
                          <w:p w:rsidR="0019168A" w:rsidRPr="0019168A" w:rsidRDefault="0019168A" w:rsidP="0019168A">
                            <w:pPr>
                              <w:spacing w:before="100" w:beforeAutospacing="1" w:after="100" w:afterAutospacing="1"/>
                              <w:ind w:firstLine="2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9168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a</w:t>
                            </w:r>
                            <w:proofErr w:type="gramEnd"/>
                            <w:r w:rsidRPr="0019168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) </w:t>
                            </w:r>
                            <w:r w:rsidRPr="0019168A">
                              <w:rPr>
                                <w:rFonts w:ascii="Times New Roman" w:hAnsi="Times New Roman" w:cs="Times New Roman"/>
                              </w:rPr>
                              <w:t>kötelezően ellátandó, törvényben előírt egyes feladatainak - felhasználási kötöttséggel - a feladatot meghatározó jogszabályban megjelölt közszolgáltatási szintnek megfelelő ellátását feladatalapú támogatással biztosítja, vagy azok ellátásához a feladat, a helyi szükségletek alapján jellemző mutatószámok, illetve a lakosságszám alapján támogatást biztosít,</w:t>
                            </w:r>
                          </w:p>
                          <w:p w:rsidR="0019168A" w:rsidRPr="0019168A" w:rsidRDefault="0019168A" w:rsidP="0019168A">
                            <w:pPr>
                              <w:spacing w:before="100" w:beforeAutospacing="1" w:after="100" w:afterAutospacing="1"/>
                              <w:ind w:firstLine="2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68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b) </w:t>
                            </w:r>
                            <w:r w:rsidRPr="0019168A">
                              <w:rPr>
                                <w:rFonts w:ascii="Times New Roman" w:hAnsi="Times New Roman" w:cs="Times New Roman"/>
                              </w:rPr>
                              <w:t xml:space="preserve">az </w:t>
                            </w:r>
                            <w:r w:rsidRPr="0019168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a) </w:t>
                            </w:r>
                            <w:r w:rsidRPr="0019168A">
                              <w:rPr>
                                <w:rFonts w:ascii="Times New Roman" w:hAnsi="Times New Roman" w:cs="Times New Roman"/>
                              </w:rPr>
                              <w:t>pontba nem tartozó feladatainak ellátásához felhasználási kötöttséggel járó, vagy felhasználási kötöttség nélküli támogatást nyújthat.</w:t>
                            </w:r>
                          </w:p>
                          <w:p w:rsidR="0019168A" w:rsidRPr="0019168A" w:rsidRDefault="0019168A" w:rsidP="0019168A">
                            <w:pPr>
                              <w:spacing w:before="100" w:beforeAutospacing="1" w:after="100" w:afterAutospacing="1"/>
                              <w:ind w:firstLine="2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68A">
                              <w:rPr>
                                <w:rFonts w:ascii="Times New Roman" w:hAnsi="Times New Roman" w:cs="Times New Roman"/>
                              </w:rPr>
                              <w:t>(2) Az (1) bekezdés szerinti támogatás biztosítása a következő szempontok figyelembe vételével történik:</w:t>
                            </w:r>
                          </w:p>
                          <w:p w:rsidR="0019168A" w:rsidRPr="0019168A" w:rsidRDefault="0019168A" w:rsidP="0019168A">
                            <w:pPr>
                              <w:spacing w:before="100" w:beforeAutospacing="1" w:after="100" w:afterAutospacing="1"/>
                              <w:ind w:firstLine="24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9168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a</w:t>
                            </w:r>
                            <w:proofErr w:type="gramEnd"/>
                            <w:r w:rsidRPr="0019168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) </w:t>
                            </w:r>
                            <w:r w:rsidRPr="0019168A">
                              <w:rPr>
                                <w:rFonts w:ascii="Times New Roman" w:hAnsi="Times New Roman" w:cs="Times New Roman"/>
                              </w:rPr>
                              <w:t>takarékos gazdálkodás,</w:t>
                            </w:r>
                          </w:p>
                          <w:p w:rsidR="0019168A" w:rsidRPr="0019168A" w:rsidRDefault="0019168A" w:rsidP="0019168A">
                            <w:pPr>
                              <w:spacing w:before="100" w:beforeAutospacing="1" w:after="100" w:afterAutospacing="1"/>
                              <w:ind w:firstLine="2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68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b) </w:t>
                            </w:r>
                            <w:r w:rsidRPr="0019168A">
                              <w:rPr>
                                <w:rFonts w:ascii="Times New Roman" w:hAnsi="Times New Roman" w:cs="Times New Roman"/>
                              </w:rPr>
                              <w:t>a helyi önkormányzat jogszabályon alapuló, elvárható saját bevétele,</w:t>
                            </w:r>
                          </w:p>
                          <w:p w:rsidR="0019168A" w:rsidRPr="0019168A" w:rsidRDefault="0019168A" w:rsidP="0019168A">
                            <w:pPr>
                              <w:spacing w:before="100" w:beforeAutospacing="1" w:after="100" w:afterAutospacing="1"/>
                              <w:ind w:firstLine="2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68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c) </w:t>
                            </w:r>
                            <w:r w:rsidRPr="0019168A">
                              <w:rPr>
                                <w:rFonts w:ascii="Times New Roman" w:hAnsi="Times New Roman" w:cs="Times New Roman"/>
                              </w:rPr>
                              <w:t>a helyi önkormányzat tényleges saját bevétele.</w:t>
                            </w:r>
                          </w:p>
                          <w:p w:rsidR="0019168A" w:rsidRPr="0019168A" w:rsidRDefault="0019168A" w:rsidP="0019168A">
                            <w:pPr>
                              <w:spacing w:before="100" w:beforeAutospacing="1" w:after="100" w:afterAutospacing="1"/>
                              <w:ind w:firstLine="2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68A">
                              <w:rPr>
                                <w:rFonts w:ascii="Times New Roman" w:hAnsi="Times New Roman" w:cs="Times New Roman"/>
                              </w:rPr>
                              <w:t>(3) A figyelembe veendő bevételek körét és mértékét törvény határozza meg.</w:t>
                            </w:r>
                          </w:p>
                          <w:p w:rsidR="0019168A" w:rsidRPr="0019168A" w:rsidRDefault="0019168A" w:rsidP="0019168A">
                            <w:pPr>
                              <w:spacing w:before="100" w:beforeAutospacing="1" w:after="100" w:afterAutospacing="1"/>
                              <w:ind w:firstLine="2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68A">
                              <w:rPr>
                                <w:rFonts w:ascii="Times New Roman" w:hAnsi="Times New Roman" w:cs="Times New Roman"/>
                              </w:rPr>
                              <w:t>(4) A feladatfinanszírozási rendszernek biztosítania kell a helyi önkormányzatok bevételi érdekeltségének fenntartását.</w:t>
                            </w:r>
                          </w:p>
                          <w:p w:rsidR="0019168A" w:rsidRPr="0019168A" w:rsidRDefault="0019168A" w:rsidP="0019168A">
                            <w:pPr>
                              <w:spacing w:before="100" w:beforeAutospacing="1" w:after="100" w:afterAutospacing="1"/>
                              <w:ind w:firstLine="2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68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118. §</w:t>
                            </w:r>
                            <w:r w:rsidRPr="0019168A">
                              <w:rPr>
                                <w:rFonts w:ascii="Times New Roman" w:hAnsi="Times New Roman" w:cs="Times New Roman"/>
                                <w:b/>
                                <w:bCs/>
                                <w:vertAlign w:val="superscript"/>
                              </w:rPr>
                              <w:t> * </w:t>
                            </w:r>
                            <w:r w:rsidRPr="0019168A">
                              <w:rPr>
                                <w:rFonts w:ascii="Times New Roman" w:hAnsi="Times New Roman" w:cs="Times New Roman"/>
                              </w:rPr>
                              <w:t xml:space="preserve">(1) A 117. § (1) bekezdés </w:t>
                            </w:r>
                            <w:r w:rsidRPr="0019168A"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 xml:space="preserve">a) </w:t>
                            </w:r>
                            <w:r w:rsidRPr="0019168A">
                              <w:rPr>
                                <w:rFonts w:ascii="Times New Roman" w:hAnsi="Times New Roman" w:cs="Times New Roman"/>
                              </w:rPr>
                              <w:t>pontja szerinti támogatást a helyi önkormányzat éves szinten kizárólag az ellátandó feladatainak kiadásaira fordíthatja. Az ettől eltérő felhasználás esetén a helyi önkormányzat köteles a támogatás összegét - az államháztartásról szóló törvényben meghatározott kamatokkal terhelve - a központi költségvetésbe visszafizetni.</w:t>
                            </w:r>
                          </w:p>
                          <w:p w:rsidR="0019168A" w:rsidRPr="0019168A" w:rsidRDefault="0019168A" w:rsidP="0019168A">
                            <w:pPr>
                              <w:spacing w:before="100" w:beforeAutospacing="1" w:after="100" w:afterAutospacing="1"/>
                              <w:ind w:firstLine="2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168A">
                              <w:rPr>
                                <w:rFonts w:ascii="Times New Roman" w:hAnsi="Times New Roman" w:cs="Times New Roman"/>
                              </w:rPr>
                              <w:t>(2) Kivételes esetben jogszabályban meghatározott módon a helyi önkormányzat működőképessége megőrzése érdekében kiegészítő támogatás adható.</w:t>
                            </w:r>
                          </w:p>
                          <w:p w:rsidR="0019168A" w:rsidRDefault="0019168A" w:rsidP="00191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72E0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26.65pt;width:452.25pt;height:451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">
                <v:textbox>
                  <w:txbxContent>
                    <w:p w:rsidR="0019168A" w:rsidRPr="0019168A" w:rsidRDefault="0019168A" w:rsidP="0019168A">
                      <w:pPr>
                        <w:spacing w:before="100" w:beforeAutospacing="1" w:after="100" w:afterAutospacing="1"/>
                        <w:ind w:firstLine="240"/>
                        <w:rPr>
                          <w:rFonts w:ascii="Times New Roman" w:hAnsi="Times New Roman" w:cs="Times New Roman"/>
                        </w:rPr>
                      </w:pPr>
                      <w:r w:rsidRPr="0019168A">
                        <w:rPr>
                          <w:rFonts w:ascii="Times New Roman" w:hAnsi="Times New Roman" w:cs="Times New Roman"/>
                          <w:b/>
                          <w:bCs/>
                        </w:rPr>
                        <w:t>117. §</w:t>
                      </w:r>
                      <w:r w:rsidRPr="0019168A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 * </w:t>
                      </w:r>
                      <w:r w:rsidRPr="0019168A">
                        <w:rPr>
                          <w:rFonts w:ascii="Times New Roman" w:hAnsi="Times New Roman" w:cs="Times New Roman"/>
                        </w:rPr>
                        <w:t>(1) A feladatfinanszírozási rendszer keretében az Országgyűlés a központi költségvetésről szóló törvényben meghatározott módon a helyi önkormányzatok</w:t>
                      </w:r>
                      <w:hyperlink r:id="rId13" w:anchor="lbj104idaf8d" w:history="1">
                        <w:r w:rsidRPr="0019168A">
                          <w:rPr>
                            <w:rStyle w:val="Hiperhivatkozs"/>
                            <w:rFonts w:ascii="Times New Roman" w:hAnsi="Times New Roman" w:cs="Times New Roman"/>
                            <w:vertAlign w:val="superscript"/>
                          </w:rPr>
                          <w:t> * </w:t>
                        </w:r>
                      </w:hyperlink>
                    </w:p>
                    <w:p w:rsidR="0019168A" w:rsidRPr="0019168A" w:rsidRDefault="0019168A" w:rsidP="0019168A">
                      <w:pPr>
                        <w:spacing w:before="100" w:beforeAutospacing="1" w:after="100" w:afterAutospacing="1"/>
                        <w:ind w:firstLine="2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9168A">
                        <w:rPr>
                          <w:rFonts w:ascii="Times New Roman" w:hAnsi="Times New Roman" w:cs="Times New Roman"/>
                          <w:i/>
                          <w:iCs/>
                        </w:rPr>
                        <w:t>a</w:t>
                      </w:r>
                      <w:proofErr w:type="gramEnd"/>
                      <w:r w:rsidRPr="0019168A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) </w:t>
                      </w:r>
                      <w:r w:rsidRPr="0019168A">
                        <w:rPr>
                          <w:rFonts w:ascii="Times New Roman" w:hAnsi="Times New Roman" w:cs="Times New Roman"/>
                        </w:rPr>
                        <w:t>kötelezően ellátandó, törvényben előírt egyes feladatainak - felhasználási kötöttséggel - a feladatot meghatározó jogszabályban megjelölt közszolgáltatási szintnek megfelelő ellátását feladatalapú támogatással biztosítja, vagy azok ellátásához a feladat, a helyi szükségletek alapján jellemző mutatószámok, illetve a lakosságszám alapján támogatást biztosít,</w:t>
                      </w:r>
                    </w:p>
                    <w:p w:rsidR="0019168A" w:rsidRPr="0019168A" w:rsidRDefault="0019168A" w:rsidP="0019168A">
                      <w:pPr>
                        <w:spacing w:before="100" w:beforeAutospacing="1" w:after="100" w:afterAutospacing="1"/>
                        <w:ind w:firstLine="240"/>
                        <w:rPr>
                          <w:rFonts w:ascii="Times New Roman" w:hAnsi="Times New Roman" w:cs="Times New Roman"/>
                        </w:rPr>
                      </w:pPr>
                      <w:r w:rsidRPr="0019168A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b) </w:t>
                      </w:r>
                      <w:r w:rsidRPr="0019168A">
                        <w:rPr>
                          <w:rFonts w:ascii="Times New Roman" w:hAnsi="Times New Roman" w:cs="Times New Roman"/>
                        </w:rPr>
                        <w:t xml:space="preserve">az </w:t>
                      </w:r>
                      <w:r w:rsidRPr="0019168A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a) </w:t>
                      </w:r>
                      <w:r w:rsidRPr="0019168A">
                        <w:rPr>
                          <w:rFonts w:ascii="Times New Roman" w:hAnsi="Times New Roman" w:cs="Times New Roman"/>
                        </w:rPr>
                        <w:t>pontba nem tartozó feladatainak ellátásához felhasználási kötöttséggel járó, vagy felhasználási kötöttség nélküli támogatást nyújthat.</w:t>
                      </w:r>
                    </w:p>
                    <w:p w:rsidR="0019168A" w:rsidRPr="0019168A" w:rsidRDefault="0019168A" w:rsidP="0019168A">
                      <w:pPr>
                        <w:spacing w:before="100" w:beforeAutospacing="1" w:after="100" w:afterAutospacing="1"/>
                        <w:ind w:firstLine="240"/>
                        <w:rPr>
                          <w:rFonts w:ascii="Times New Roman" w:hAnsi="Times New Roman" w:cs="Times New Roman"/>
                        </w:rPr>
                      </w:pPr>
                      <w:r w:rsidRPr="0019168A">
                        <w:rPr>
                          <w:rFonts w:ascii="Times New Roman" w:hAnsi="Times New Roman" w:cs="Times New Roman"/>
                        </w:rPr>
                        <w:t>(2) Az (1) bekezdés szerinti támogatás biztosítása a következő szempontok figyelembe vételével történik:</w:t>
                      </w:r>
                    </w:p>
                    <w:p w:rsidR="0019168A" w:rsidRPr="0019168A" w:rsidRDefault="0019168A" w:rsidP="0019168A">
                      <w:pPr>
                        <w:spacing w:before="100" w:beforeAutospacing="1" w:after="100" w:afterAutospacing="1"/>
                        <w:ind w:firstLine="24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9168A">
                        <w:rPr>
                          <w:rFonts w:ascii="Times New Roman" w:hAnsi="Times New Roman" w:cs="Times New Roman"/>
                          <w:i/>
                          <w:iCs/>
                        </w:rPr>
                        <w:t>a</w:t>
                      </w:r>
                      <w:proofErr w:type="gramEnd"/>
                      <w:r w:rsidRPr="0019168A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) </w:t>
                      </w:r>
                      <w:r w:rsidRPr="0019168A">
                        <w:rPr>
                          <w:rFonts w:ascii="Times New Roman" w:hAnsi="Times New Roman" w:cs="Times New Roman"/>
                        </w:rPr>
                        <w:t>takarékos gazdálkodás,</w:t>
                      </w:r>
                    </w:p>
                    <w:p w:rsidR="0019168A" w:rsidRPr="0019168A" w:rsidRDefault="0019168A" w:rsidP="0019168A">
                      <w:pPr>
                        <w:spacing w:before="100" w:beforeAutospacing="1" w:after="100" w:afterAutospacing="1"/>
                        <w:ind w:firstLine="240"/>
                        <w:rPr>
                          <w:rFonts w:ascii="Times New Roman" w:hAnsi="Times New Roman" w:cs="Times New Roman"/>
                        </w:rPr>
                      </w:pPr>
                      <w:r w:rsidRPr="0019168A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b) </w:t>
                      </w:r>
                      <w:r w:rsidRPr="0019168A">
                        <w:rPr>
                          <w:rFonts w:ascii="Times New Roman" w:hAnsi="Times New Roman" w:cs="Times New Roman"/>
                        </w:rPr>
                        <w:t>a helyi önkormányzat jogszabályon alapuló, elvárható saját bevétele,</w:t>
                      </w:r>
                    </w:p>
                    <w:p w:rsidR="0019168A" w:rsidRPr="0019168A" w:rsidRDefault="0019168A" w:rsidP="0019168A">
                      <w:pPr>
                        <w:spacing w:before="100" w:beforeAutospacing="1" w:after="100" w:afterAutospacing="1"/>
                        <w:ind w:firstLine="240"/>
                        <w:rPr>
                          <w:rFonts w:ascii="Times New Roman" w:hAnsi="Times New Roman" w:cs="Times New Roman"/>
                        </w:rPr>
                      </w:pPr>
                      <w:r w:rsidRPr="0019168A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c) </w:t>
                      </w:r>
                      <w:r w:rsidRPr="0019168A">
                        <w:rPr>
                          <w:rFonts w:ascii="Times New Roman" w:hAnsi="Times New Roman" w:cs="Times New Roman"/>
                        </w:rPr>
                        <w:t>a helyi önkormányzat tényleges saját bevétele.</w:t>
                      </w:r>
                    </w:p>
                    <w:p w:rsidR="0019168A" w:rsidRPr="0019168A" w:rsidRDefault="0019168A" w:rsidP="0019168A">
                      <w:pPr>
                        <w:spacing w:before="100" w:beforeAutospacing="1" w:after="100" w:afterAutospacing="1"/>
                        <w:ind w:firstLine="240"/>
                        <w:rPr>
                          <w:rFonts w:ascii="Times New Roman" w:hAnsi="Times New Roman" w:cs="Times New Roman"/>
                        </w:rPr>
                      </w:pPr>
                      <w:r w:rsidRPr="0019168A">
                        <w:rPr>
                          <w:rFonts w:ascii="Times New Roman" w:hAnsi="Times New Roman" w:cs="Times New Roman"/>
                        </w:rPr>
                        <w:t>(3) A figyelembe veendő bevételek körét és mértékét törvény határozza meg.</w:t>
                      </w:r>
                    </w:p>
                    <w:p w:rsidR="0019168A" w:rsidRPr="0019168A" w:rsidRDefault="0019168A" w:rsidP="0019168A">
                      <w:pPr>
                        <w:spacing w:before="100" w:beforeAutospacing="1" w:after="100" w:afterAutospacing="1"/>
                        <w:ind w:firstLine="240"/>
                        <w:rPr>
                          <w:rFonts w:ascii="Times New Roman" w:hAnsi="Times New Roman" w:cs="Times New Roman"/>
                        </w:rPr>
                      </w:pPr>
                      <w:r w:rsidRPr="0019168A">
                        <w:rPr>
                          <w:rFonts w:ascii="Times New Roman" w:hAnsi="Times New Roman" w:cs="Times New Roman"/>
                        </w:rPr>
                        <w:t>(4) A feladatfinanszírozási rendszernek biztosítania kell a helyi önkormányzatok bevételi érdekeltségének fenntartását.</w:t>
                      </w:r>
                    </w:p>
                    <w:p w:rsidR="0019168A" w:rsidRPr="0019168A" w:rsidRDefault="0019168A" w:rsidP="0019168A">
                      <w:pPr>
                        <w:spacing w:before="100" w:beforeAutospacing="1" w:after="100" w:afterAutospacing="1"/>
                        <w:ind w:firstLine="240"/>
                        <w:rPr>
                          <w:rFonts w:ascii="Times New Roman" w:hAnsi="Times New Roman" w:cs="Times New Roman"/>
                        </w:rPr>
                      </w:pPr>
                      <w:r w:rsidRPr="0019168A">
                        <w:rPr>
                          <w:rFonts w:ascii="Times New Roman" w:hAnsi="Times New Roman" w:cs="Times New Roman"/>
                          <w:b/>
                          <w:bCs/>
                        </w:rPr>
                        <w:t>118. §</w:t>
                      </w:r>
                      <w:r w:rsidRPr="0019168A">
                        <w:rPr>
                          <w:rFonts w:ascii="Times New Roman" w:hAnsi="Times New Roman" w:cs="Times New Roman"/>
                          <w:b/>
                          <w:bCs/>
                          <w:vertAlign w:val="superscript"/>
                        </w:rPr>
                        <w:t> * </w:t>
                      </w:r>
                      <w:r w:rsidRPr="0019168A">
                        <w:rPr>
                          <w:rFonts w:ascii="Times New Roman" w:hAnsi="Times New Roman" w:cs="Times New Roman"/>
                        </w:rPr>
                        <w:t xml:space="preserve">(1) A 117. § (1) bekezdés </w:t>
                      </w:r>
                      <w:r w:rsidRPr="0019168A">
                        <w:rPr>
                          <w:rFonts w:ascii="Times New Roman" w:hAnsi="Times New Roman" w:cs="Times New Roman"/>
                          <w:i/>
                          <w:iCs/>
                        </w:rPr>
                        <w:t xml:space="preserve">a) </w:t>
                      </w:r>
                      <w:r w:rsidRPr="0019168A">
                        <w:rPr>
                          <w:rFonts w:ascii="Times New Roman" w:hAnsi="Times New Roman" w:cs="Times New Roman"/>
                        </w:rPr>
                        <w:t>pontja szerinti támogatást a helyi önkormányzat éves szinten kizárólag az ellátandó feladatainak kiadásaira fordíthatja. Az ettől eltérő felhasználás esetén a helyi önkormányzat köteles a támogatás összegét - az államháztartásról szóló törvényben meghatározott kamatokkal terhelve - a központi költségvetésbe visszafizetni.</w:t>
                      </w:r>
                    </w:p>
                    <w:p w:rsidR="0019168A" w:rsidRPr="0019168A" w:rsidRDefault="0019168A" w:rsidP="0019168A">
                      <w:pPr>
                        <w:spacing w:before="100" w:beforeAutospacing="1" w:after="100" w:afterAutospacing="1"/>
                        <w:ind w:firstLine="240"/>
                        <w:rPr>
                          <w:rFonts w:ascii="Times New Roman" w:hAnsi="Times New Roman" w:cs="Times New Roman"/>
                        </w:rPr>
                      </w:pPr>
                      <w:r w:rsidRPr="0019168A">
                        <w:rPr>
                          <w:rFonts w:ascii="Times New Roman" w:hAnsi="Times New Roman" w:cs="Times New Roman"/>
                        </w:rPr>
                        <w:t>(2) Kivételes esetben jogszabályban meghatározott módon a helyi önkormányzat működőképessége megőrzése érdekében kiegészítő támogatás adható.</w:t>
                      </w:r>
                    </w:p>
                    <w:p w:rsidR="0019168A" w:rsidRDefault="0019168A" w:rsidP="0019168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9168A" w:rsidRPr="00F8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77" w:rsidRDefault="007B0877" w:rsidP="00BC246C">
      <w:pPr>
        <w:spacing w:after="0" w:line="240" w:lineRule="auto"/>
      </w:pPr>
      <w:r>
        <w:separator/>
      </w:r>
    </w:p>
  </w:endnote>
  <w:endnote w:type="continuationSeparator" w:id="0">
    <w:p w:rsidR="007B0877" w:rsidRDefault="007B0877" w:rsidP="00BC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77" w:rsidRDefault="007B0877" w:rsidP="00BC246C">
      <w:pPr>
        <w:spacing w:after="0" w:line="240" w:lineRule="auto"/>
      </w:pPr>
      <w:r>
        <w:separator/>
      </w:r>
    </w:p>
  </w:footnote>
  <w:footnote w:type="continuationSeparator" w:id="0">
    <w:p w:rsidR="007B0877" w:rsidRDefault="007B0877" w:rsidP="00BC246C">
      <w:pPr>
        <w:spacing w:after="0" w:line="240" w:lineRule="auto"/>
      </w:pPr>
      <w:r>
        <w:continuationSeparator/>
      </w:r>
    </w:p>
  </w:footnote>
  <w:footnote w:id="1">
    <w:p w:rsidR="00BC246C" w:rsidRDefault="00BC246C" w:rsidP="00BC246C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„duális képzés” leginkább a mérnöki és műszaki tudományok területén terjed, lényege, hogy a hallgató a felsőoktatási intézménybe való jelentkezéskor egy, az intézménnyel szerződött vállalathoz is jelentkezik. A képzés megkezdésének feltétele, hogy mind a két helyen jogviszony jöjjön létre. A képzés többletterhet jelent, mivel egyszerre folyik az elméleti és a gyakorlati képzés, ugyanakkor a képzés befejezésekor gyakorlatot igazoló duális képzésben való részvételről szóló igazolást („betétlapot”) is kap.</w:t>
      </w:r>
    </w:p>
  </w:footnote>
  <w:footnote w:id="2">
    <w:p w:rsidR="00032150" w:rsidRPr="00032150" w:rsidRDefault="00032150">
      <w:pPr>
        <w:pStyle w:val="Lbjegyzetszveg"/>
        <w:rPr>
          <w:rFonts w:ascii="Times New Roman" w:hAnsi="Times New Roman" w:cs="Times New Roman"/>
        </w:rPr>
      </w:pPr>
      <w:r w:rsidRPr="00032150">
        <w:rPr>
          <w:rStyle w:val="Lbjegyzet-hivatkozs"/>
          <w:rFonts w:ascii="Times New Roman" w:hAnsi="Times New Roman" w:cs="Times New Roman"/>
        </w:rPr>
        <w:footnoteRef/>
      </w:r>
      <w:r w:rsidRPr="00032150">
        <w:rPr>
          <w:rFonts w:ascii="Times New Roman" w:hAnsi="Times New Roman" w:cs="Times New Roman"/>
        </w:rPr>
        <w:t xml:space="preserve"> A konkrét változások 2013-tól léptek hatályba.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1A6"/>
    <w:multiLevelType w:val="hybridMultilevel"/>
    <w:tmpl w:val="9062647E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2B42E3"/>
    <w:multiLevelType w:val="hybridMultilevel"/>
    <w:tmpl w:val="0E124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A13F0"/>
    <w:multiLevelType w:val="multilevel"/>
    <w:tmpl w:val="3A52E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1242E4"/>
    <w:multiLevelType w:val="hybridMultilevel"/>
    <w:tmpl w:val="A4E0A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F0A19"/>
    <w:multiLevelType w:val="multilevel"/>
    <w:tmpl w:val="21B0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2D"/>
    <w:rsid w:val="00032150"/>
    <w:rsid w:val="00122DEA"/>
    <w:rsid w:val="0019168A"/>
    <w:rsid w:val="004B511D"/>
    <w:rsid w:val="004F2123"/>
    <w:rsid w:val="00584A76"/>
    <w:rsid w:val="00667718"/>
    <w:rsid w:val="0077432D"/>
    <w:rsid w:val="007B0877"/>
    <w:rsid w:val="00A916C8"/>
    <w:rsid w:val="00AD46EC"/>
    <w:rsid w:val="00BC246C"/>
    <w:rsid w:val="00F8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A48E-DA3F-48CD-BF81-6A95573E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91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87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F874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F874B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74B0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F874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F874B0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8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874B0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C24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24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C246C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A916C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et.jogtar.hu/jogszabaly?docid=A1100189.T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t.jogtar.hu/jogszabaly?docid=A1100189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54C90-7111-44DE-98CD-1B6978EA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3533</Words>
  <Characters>24382</Characters>
  <Application>Microsoft Office Word</Application>
  <DocSecurity>0</DocSecurity>
  <Lines>203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Halmosi Péter- Qualinnova Consulting</dc:creator>
  <cp:keywords/>
  <dc:description/>
  <cp:lastModifiedBy>Halmosi Péter- Qualinnova Consulting</cp:lastModifiedBy>
  <cp:revision>5</cp:revision>
  <dcterms:created xsi:type="dcterms:W3CDTF">2018-05-22T16:07:00Z</dcterms:created>
  <dcterms:modified xsi:type="dcterms:W3CDTF">2019-08-14T08:59:00Z</dcterms:modified>
</cp:coreProperties>
</file>