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036"/>
        <w:gridCol w:w="3037"/>
        <w:gridCol w:w="3037"/>
      </w:tblGrid>
      <w:tr w:rsidR="008038C6" w:rsidTr="00A51631">
        <w:trPr>
          <w:trHeight w:val="3534"/>
        </w:trPr>
        <w:tc>
          <w:tcPr>
            <w:tcW w:w="3036" w:type="dxa"/>
            <w:shd w:val="clear" w:color="auto" w:fill="E2EFD9" w:themeFill="accent6" w:themeFillTint="33"/>
          </w:tcPr>
          <w:p w:rsidR="008038C6" w:rsidRDefault="008038C6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</w:rPr>
              <w:drawing>
                <wp:inline distT="0" distB="0" distL="0" distR="0" wp14:anchorId="5C5535C2" wp14:editId="4BFC4B36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38C6" w:rsidRPr="00837EA1" w:rsidRDefault="008038C6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37" w:type="dxa"/>
            <w:shd w:val="clear" w:color="auto" w:fill="E2EFD9" w:themeFill="accent6" w:themeFillTint="33"/>
          </w:tcPr>
          <w:p w:rsidR="008038C6" w:rsidRDefault="008038C6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8DE3A80" wp14:editId="7076F8D8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8C6" w:rsidRDefault="008038C6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</w:t>
            </w:r>
            <w:r w:rsidR="00EB4348">
              <w:rPr>
                <w:b/>
                <w:sz w:val="40"/>
                <w:szCs w:val="40"/>
                <w:u w:val="single"/>
              </w:rPr>
              <w:t>5</w:t>
            </w:r>
            <w:r>
              <w:rPr>
                <w:b/>
                <w:sz w:val="40"/>
                <w:szCs w:val="40"/>
                <w:u w:val="single"/>
              </w:rPr>
              <w:t>-1</w:t>
            </w:r>
            <w:r w:rsidR="00EB4348">
              <w:rPr>
                <w:b/>
                <w:sz w:val="40"/>
                <w:szCs w:val="40"/>
                <w:u w:val="single"/>
              </w:rPr>
              <w:t>8</w:t>
            </w:r>
            <w:r>
              <w:rPr>
                <w:b/>
                <w:sz w:val="40"/>
                <w:szCs w:val="40"/>
                <w:u w:val="single"/>
              </w:rPr>
              <w:t xml:space="preserve"> perc</w:t>
            </w:r>
          </w:p>
        </w:tc>
        <w:tc>
          <w:tcPr>
            <w:tcW w:w="3037" w:type="dxa"/>
            <w:shd w:val="clear" w:color="auto" w:fill="E2EFD9" w:themeFill="accent6" w:themeFillTint="33"/>
          </w:tcPr>
          <w:p w:rsidR="008038C6" w:rsidRPr="007606EE" w:rsidRDefault="008038C6" w:rsidP="00A51631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A51631">
              <w:rPr>
                <w:rFonts w:ascii="Lucida Sans Unicode" w:hAnsi="Lucida Sans Unicode" w:cs="Lucida Sans Unicode"/>
                <w:sz w:val="18"/>
                <w:szCs w:val="18"/>
              </w:rPr>
              <w:t>ottó:</w:t>
            </w:r>
          </w:p>
          <w:p w:rsidR="008038C6" w:rsidRPr="00272329" w:rsidRDefault="00272329" w:rsidP="00272329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72329">
              <w:rPr>
                <w:rFonts w:ascii="Lucida Sans Unicode" w:hAnsi="Lucida Sans Unicode" w:cs="Lucida Sans Unicode"/>
                <w:sz w:val="18"/>
                <w:szCs w:val="18"/>
              </w:rPr>
              <w:t>„Senkiből nem válhat nagy vezető, ha mindent egymaga akar felépíteni, vagy ha a teljes dicsőséget saját magának akarja.”</w:t>
            </w:r>
          </w:p>
          <w:p w:rsidR="00272329" w:rsidRPr="00272329" w:rsidRDefault="00272329" w:rsidP="00272329">
            <w:pPr>
              <w:pStyle w:val="Cmsor2"/>
              <w:numPr>
                <w:ilvl w:val="0"/>
                <w:numId w:val="0"/>
              </w:numPr>
              <w:ind w:left="576" w:hanging="576"/>
              <w:jc w:val="center"/>
              <w:outlineLvl w:val="1"/>
              <w:rPr>
                <w:rFonts w:ascii="Lucida Sans Unicode" w:hAnsi="Lucida Sans Unicode" w:cs="Lucida Sans Unicode"/>
                <w:i w:val="0"/>
                <w:sz w:val="18"/>
                <w:szCs w:val="18"/>
              </w:rPr>
            </w:pPr>
            <w:r w:rsidRPr="00272329">
              <w:rPr>
                <w:rFonts w:ascii="Lucida Sans Unicode" w:hAnsi="Lucida Sans Unicode" w:cs="Lucida Sans Unicode"/>
                <w:i w:val="0"/>
                <w:sz w:val="18"/>
                <w:szCs w:val="18"/>
              </w:rPr>
              <w:t>(Andrew Carnegie)</w:t>
            </w:r>
          </w:p>
          <w:p w:rsidR="00272329" w:rsidRPr="00272329" w:rsidRDefault="00272329" w:rsidP="00272329"/>
        </w:tc>
      </w:tr>
    </w:tbl>
    <w:p w:rsidR="008038C6" w:rsidRDefault="008038C6" w:rsidP="008038C6">
      <w:pPr>
        <w:rPr>
          <w:b/>
        </w:rPr>
      </w:pPr>
    </w:p>
    <w:p w:rsidR="008038C6" w:rsidRPr="003F7597" w:rsidRDefault="008038C6" w:rsidP="008038C6">
      <w:pPr>
        <w:ind w:firstLine="0"/>
        <w:rPr>
          <w:rFonts w:asciiTheme="minorHAnsi" w:hAnsiTheme="minorHAnsi" w:cstheme="minorHAnsi"/>
          <w:b/>
        </w:rPr>
      </w:pPr>
      <w:r w:rsidRPr="003F7597">
        <w:rPr>
          <w:rFonts w:asciiTheme="minorHAnsi" w:hAnsiTheme="minorHAnsi" w:cstheme="minorHAnsi"/>
          <w:b/>
        </w:rPr>
        <w:t>Uniós projektek menedzselése</w:t>
      </w:r>
    </w:p>
    <w:p w:rsidR="008038C6" w:rsidRPr="003F7597" w:rsidRDefault="008038C6" w:rsidP="008038C6">
      <w:pPr>
        <w:ind w:firstLine="0"/>
        <w:rPr>
          <w:rFonts w:asciiTheme="minorHAnsi" w:hAnsiTheme="minorHAnsi" w:cstheme="minorHAnsi"/>
          <w:b/>
        </w:rPr>
      </w:pPr>
    </w:p>
    <w:p w:rsidR="008038C6" w:rsidRPr="003F7597" w:rsidRDefault="008038C6" w:rsidP="008038C6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3F7597">
        <w:rPr>
          <w:rFonts w:asciiTheme="minorHAnsi" w:hAnsiTheme="minorHAnsi" w:cstheme="minorHAnsi"/>
          <w:b/>
        </w:rPr>
        <w:t xml:space="preserve"> fejezet 1 olvasólecke</w:t>
      </w:r>
    </w:p>
    <w:p w:rsidR="004074F6" w:rsidRDefault="004074F6" w:rsidP="004074F6">
      <w:pPr>
        <w:spacing w:line="360" w:lineRule="auto"/>
        <w:rPr>
          <w:sz w:val="24"/>
        </w:rPr>
      </w:pPr>
    </w:p>
    <w:p w:rsidR="00B53E5F" w:rsidRPr="008038C6" w:rsidRDefault="008038C6" w:rsidP="008038C6">
      <w:pPr>
        <w:spacing w:after="360" w:line="360" w:lineRule="auto"/>
        <w:jc w:val="center"/>
        <w:rPr>
          <w:b/>
          <w:sz w:val="36"/>
          <w:szCs w:val="36"/>
        </w:rPr>
      </w:pPr>
      <w:r w:rsidRPr="008038C6">
        <w:rPr>
          <w:b/>
          <w:sz w:val="36"/>
          <w:szCs w:val="36"/>
        </w:rPr>
        <w:t>A</w:t>
      </w:r>
      <w:r w:rsidR="00B53E5F" w:rsidRPr="008038C6">
        <w:rPr>
          <w:b/>
          <w:sz w:val="36"/>
          <w:szCs w:val="36"/>
        </w:rPr>
        <w:t xml:space="preserve"> </w:t>
      </w:r>
      <w:r w:rsidR="00CB1100" w:rsidRPr="008038C6">
        <w:rPr>
          <w:b/>
          <w:sz w:val="36"/>
          <w:szCs w:val="36"/>
        </w:rPr>
        <w:t xml:space="preserve">donorfinanszírozott projektek </w:t>
      </w:r>
      <w:proofErr w:type="spellStart"/>
      <w:r w:rsidR="00E30FDE" w:rsidRPr="008038C6">
        <w:rPr>
          <w:b/>
          <w:sz w:val="36"/>
          <w:szCs w:val="36"/>
        </w:rPr>
        <w:t>s</w:t>
      </w:r>
      <w:r w:rsidR="00CB1100" w:rsidRPr="008038C6">
        <w:rPr>
          <w:b/>
          <w:sz w:val="36"/>
          <w:szCs w:val="36"/>
        </w:rPr>
        <w:t>takeholderei</w:t>
      </w:r>
      <w:proofErr w:type="spellEnd"/>
    </w:p>
    <w:p w:rsidR="00B53E5F" w:rsidRDefault="00B53E5F" w:rsidP="008038C6">
      <w:pPr>
        <w:spacing w:after="160" w:line="360" w:lineRule="auto"/>
        <w:ind w:firstLine="0"/>
        <w:rPr>
          <w:sz w:val="24"/>
        </w:rPr>
      </w:pPr>
      <w:r>
        <w:rPr>
          <w:sz w:val="24"/>
        </w:rPr>
        <w:t>A teljes projektciklus és a projektek tulajdonságainak ismertetését követően megvizsgáljuk a legfontosabb módszertani kérdéseket. Mivel a sikeres projektek generálásában kiemelkedő fontosságú a környezet minél pontosabb megismerése, az igények feltérképezése és új ötletek generálása, bemutatjuk azokat az eljárásokat, amelyek ennek a részfeladatnak a teljesítését szolgálják, kitérünk a SWOT-elemzés speciális aspektusait, áttekintjük a fastruktúrák legfontosabb sajátosságait, illetve részletesen tárgyaljuk a módszertani alapokat biztosító logikai keretmátrix legfontosabb tulajdonságait.</w:t>
      </w:r>
    </w:p>
    <w:p w:rsidR="00C52032" w:rsidRDefault="00102B8C" w:rsidP="00451C49">
      <w:pPr>
        <w:spacing w:after="160" w:line="360" w:lineRule="auto"/>
        <w:ind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6001358</wp:posOffset>
            </wp:positionV>
            <wp:extent cx="3752215" cy="2109470"/>
            <wp:effectExtent l="0" t="0" r="635" b="5080"/>
            <wp:wrapSquare wrapText="bothSides"/>
            <wp:docPr id="2" name="Kép 2" descr="Képtalálat a következőre: „stakehold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takeholder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FDE">
        <w:rPr>
          <w:sz w:val="24"/>
        </w:rPr>
        <w:t xml:space="preserve">Nézzük meg részletesen a projekt sikerességében gyakran meghatározó jelentőségű </w:t>
      </w:r>
      <w:proofErr w:type="spellStart"/>
      <w:r w:rsidR="00E30FDE" w:rsidRPr="00A16CB2">
        <w:rPr>
          <w:sz w:val="24"/>
        </w:rPr>
        <w:t>stakeholder-analízist</w:t>
      </w:r>
      <w:proofErr w:type="spellEnd"/>
      <w:r w:rsidR="00E30FDE">
        <w:rPr>
          <w:sz w:val="24"/>
        </w:rPr>
        <w:t xml:space="preserve">. </w:t>
      </w:r>
      <w:r w:rsidR="00E30FDE" w:rsidRPr="00451C49">
        <w:rPr>
          <w:b/>
          <w:sz w:val="24"/>
        </w:rPr>
        <w:t>A „</w:t>
      </w:r>
      <w:proofErr w:type="spellStart"/>
      <w:r w:rsidR="00E30FDE" w:rsidRPr="00451C49">
        <w:rPr>
          <w:b/>
          <w:sz w:val="24"/>
        </w:rPr>
        <w:t>stakeholder</w:t>
      </w:r>
      <w:proofErr w:type="spellEnd"/>
      <w:r w:rsidR="00E30FDE" w:rsidRPr="00451C49">
        <w:rPr>
          <w:b/>
          <w:sz w:val="24"/>
        </w:rPr>
        <w:t xml:space="preserve">” fogalom fordítására több próbálkozás is történt, gyakran használják </w:t>
      </w:r>
      <w:r w:rsidR="00451C49" w:rsidRPr="001C0077">
        <w:rPr>
          <w:b/>
          <w:sz w:val="24"/>
        </w:rPr>
        <w:t xml:space="preserve">az </w:t>
      </w:r>
      <w:r w:rsidR="00451C49" w:rsidRPr="001C0077">
        <w:rPr>
          <w:b/>
          <w:sz w:val="24"/>
          <w:u w:val="single"/>
        </w:rPr>
        <w:t>érintettek, érdekelt</w:t>
      </w:r>
      <w:r w:rsidR="001C0077" w:rsidRPr="001C0077">
        <w:rPr>
          <w:b/>
          <w:sz w:val="24"/>
          <w:u w:val="single"/>
        </w:rPr>
        <w:t xml:space="preserve">ek és </w:t>
      </w:r>
      <w:r w:rsidR="00E30FDE" w:rsidRPr="001C0077">
        <w:rPr>
          <w:b/>
          <w:sz w:val="24"/>
          <w:u w:val="single"/>
        </w:rPr>
        <w:t>résztvevők</w:t>
      </w:r>
      <w:r w:rsidR="00E30FDE" w:rsidRPr="00451C49">
        <w:rPr>
          <w:b/>
          <w:sz w:val="24"/>
        </w:rPr>
        <w:t xml:space="preserve"> fogalmakat is. </w:t>
      </w:r>
      <w:r w:rsidR="00E30FDE">
        <w:rPr>
          <w:sz w:val="24"/>
        </w:rPr>
        <w:t>A résztvevőelemzés (</w:t>
      </w:r>
      <w:proofErr w:type="spellStart"/>
      <w:r w:rsidR="00E30FDE">
        <w:rPr>
          <w:sz w:val="24"/>
        </w:rPr>
        <w:t>stakeholder-analízis</w:t>
      </w:r>
      <w:proofErr w:type="spellEnd"/>
      <w:r w:rsidR="00E30FDE">
        <w:rPr>
          <w:sz w:val="24"/>
        </w:rPr>
        <w:t xml:space="preserve">) is a vállalati menedzsmentből átvett módszertan, a külső környezet elemzésére használják. A cégek gyakorlatában </w:t>
      </w:r>
      <w:r w:rsidR="00E30FDE" w:rsidRPr="001C0077">
        <w:rPr>
          <w:b/>
          <w:sz w:val="24"/>
        </w:rPr>
        <w:t xml:space="preserve">a </w:t>
      </w:r>
      <w:proofErr w:type="spellStart"/>
      <w:r w:rsidR="00E30FDE" w:rsidRPr="001C0077">
        <w:rPr>
          <w:b/>
          <w:sz w:val="24"/>
        </w:rPr>
        <w:t>stakeholdereket</w:t>
      </w:r>
      <w:proofErr w:type="spellEnd"/>
      <w:r w:rsidR="00E30FDE" w:rsidRPr="001C0077">
        <w:rPr>
          <w:b/>
          <w:sz w:val="24"/>
        </w:rPr>
        <w:t xml:space="preserve"> úgy definiálják, mint azon szervezetek és személyek </w:t>
      </w:r>
      <w:r w:rsidR="00E30FDE" w:rsidRPr="001C0077">
        <w:rPr>
          <w:b/>
          <w:sz w:val="24"/>
        </w:rPr>
        <w:lastRenderedPageBreak/>
        <w:t xml:space="preserve">összességét, amelyek befolyásolják, vagy befolyásolhatják a vállalati célkitűzések realizálódását. </w:t>
      </w:r>
      <w:r w:rsidR="00E30FDE">
        <w:rPr>
          <w:sz w:val="24"/>
        </w:rPr>
        <w:t xml:space="preserve">Hasonló tartalommal jelentkezik a hazai szakirodalomban az érdekcsoportok kifejezés, amelyek azokat a szervezeteket, egyéneket takarja, akik valamilyen módon érintettek a cég tevékenységének eredményességében, hasznuk vagy káruk származik abból. Az adaptáció során a fogalom tartalma is változott a tevékenységek különbözőségének megfelelően. </w:t>
      </w:r>
    </w:p>
    <w:p w:rsidR="00E30FDE" w:rsidRPr="001C0077" w:rsidRDefault="00E30FDE" w:rsidP="00C52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firstLine="0"/>
        <w:rPr>
          <w:b/>
          <w:sz w:val="24"/>
        </w:rPr>
      </w:pPr>
      <w:r>
        <w:rPr>
          <w:sz w:val="24"/>
        </w:rPr>
        <w:t xml:space="preserve">Az uniós terminológia szerint </w:t>
      </w:r>
      <w:proofErr w:type="spellStart"/>
      <w:r w:rsidRPr="001C0077">
        <w:rPr>
          <w:b/>
          <w:sz w:val="24"/>
        </w:rPr>
        <w:t>stakeholdernek</w:t>
      </w:r>
      <w:proofErr w:type="spellEnd"/>
      <w:r w:rsidRPr="001C0077">
        <w:rPr>
          <w:b/>
          <w:sz w:val="24"/>
        </w:rPr>
        <w:t xml:space="preserve"> tekinthető “minden személy, személyek csoportja, szervezet, vagy cég, amely kapcsolatba kerülhet a projekttel”.</w:t>
      </w:r>
    </w:p>
    <w:p w:rsidR="00E30FDE" w:rsidRDefault="00E30FDE" w:rsidP="001C0077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A projektek különbözőségéből következően az egyes projektekhez rendelhető érintettek eltérők. Azonban az esetek jelentős hányadában vannak biztos szereplők, ezekből a lehetséges </w:t>
      </w:r>
      <w:proofErr w:type="spellStart"/>
      <w:r>
        <w:rPr>
          <w:sz w:val="24"/>
        </w:rPr>
        <w:t>stakeholder</w:t>
      </w:r>
      <w:proofErr w:type="spellEnd"/>
      <w:r>
        <w:rPr>
          <w:sz w:val="24"/>
        </w:rPr>
        <w:t xml:space="preserve"> csoportokból ismertetünk néhányat:</w:t>
      </w:r>
    </w:p>
    <w:p w:rsidR="00E30FDE" w:rsidRDefault="00E30FDE" w:rsidP="008038C6">
      <w:pPr>
        <w:pStyle w:val="Stlusszabi"/>
        <w:numPr>
          <w:ilvl w:val="0"/>
          <w:numId w:val="4"/>
        </w:numPr>
        <w:spacing w:after="160"/>
        <w:ind w:left="567" w:hanging="283"/>
      </w:pPr>
      <w:r>
        <w:t>akik közvetve befolyásolhatják a projekt megvalósítását,</w:t>
      </w:r>
    </w:p>
    <w:p w:rsidR="00E30FDE" w:rsidRDefault="00E30FDE" w:rsidP="008038C6">
      <w:pPr>
        <w:pStyle w:val="Stlusszabi"/>
        <w:numPr>
          <w:ilvl w:val="0"/>
          <w:numId w:val="4"/>
        </w:numPr>
        <w:spacing w:after="160"/>
        <w:ind w:left="567" w:hanging="283"/>
      </w:pPr>
      <w:r>
        <w:t>akik közvetlenül érdekeltek a célok elérésében,</w:t>
      </w:r>
    </w:p>
    <w:p w:rsidR="00E30FDE" w:rsidRDefault="00E30FDE" w:rsidP="008038C6">
      <w:pPr>
        <w:pStyle w:val="Stlusszabi"/>
        <w:numPr>
          <w:ilvl w:val="0"/>
          <w:numId w:val="4"/>
        </w:numPr>
        <w:spacing w:after="160"/>
        <w:ind w:left="567" w:hanging="283"/>
      </w:pPr>
      <w:r>
        <w:t>akik döntöttek a beavatkozásról és finanszírozzák azt,</w:t>
      </w:r>
    </w:p>
    <w:p w:rsidR="00E30FDE" w:rsidRDefault="00867224" w:rsidP="008038C6">
      <w:pPr>
        <w:pStyle w:val="Stlusszabi"/>
        <w:numPr>
          <w:ilvl w:val="0"/>
          <w:numId w:val="4"/>
        </w:numPr>
        <w:spacing w:after="160"/>
        <w:ind w:left="567" w:hanging="28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3639903</wp:posOffset>
            </wp:positionH>
            <wp:positionV relativeFrom="margin">
              <wp:posOffset>4125043</wp:posOffset>
            </wp:positionV>
            <wp:extent cx="1998980" cy="1330960"/>
            <wp:effectExtent l="0" t="0" r="1270" b="2540"/>
            <wp:wrapSquare wrapText="bothSides"/>
            <wp:docPr id="5" name="Kép 5" descr="Képtalálat a következőre: „stakehold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 a következőre: „stakeholder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FDE">
        <w:t>akik részt vesznek a projektben,</w:t>
      </w:r>
    </w:p>
    <w:p w:rsidR="00E30FDE" w:rsidRDefault="00E30FDE" w:rsidP="008038C6">
      <w:pPr>
        <w:pStyle w:val="Stlusszabi"/>
        <w:numPr>
          <w:ilvl w:val="0"/>
          <w:numId w:val="4"/>
        </w:numPr>
        <w:spacing w:after="160"/>
        <w:ind w:left="567" w:hanging="283"/>
      </w:pPr>
      <w:r>
        <w:t>a közszférában dolgozó érintett végrehajtók,</w:t>
      </w:r>
    </w:p>
    <w:p w:rsidR="00E30FDE" w:rsidRDefault="00E30FDE" w:rsidP="008038C6">
      <w:pPr>
        <w:pStyle w:val="Stlusszabi"/>
        <w:numPr>
          <w:ilvl w:val="0"/>
          <w:numId w:val="4"/>
        </w:numPr>
        <w:spacing w:after="160"/>
        <w:ind w:left="567" w:hanging="283"/>
      </w:pPr>
      <w:r>
        <w:t>a projekt végső kedvezményezettjei,</w:t>
      </w:r>
    </w:p>
    <w:p w:rsidR="00E30FDE" w:rsidRDefault="00E30FDE" w:rsidP="008038C6">
      <w:pPr>
        <w:pStyle w:val="Stlusszabi"/>
        <w:numPr>
          <w:ilvl w:val="0"/>
          <w:numId w:val="4"/>
        </w:numPr>
        <w:spacing w:after="160"/>
        <w:ind w:left="567" w:hanging="283"/>
      </w:pPr>
      <w:r>
        <w:t>a célcsoport: pl. az érintett lakosság, stb.</w:t>
      </w:r>
    </w:p>
    <w:p w:rsidR="00E30FDE" w:rsidRDefault="00E30FDE" w:rsidP="008038C6">
      <w:pPr>
        <w:spacing w:after="160" w:line="360" w:lineRule="auto"/>
        <w:rPr>
          <w:sz w:val="24"/>
        </w:rPr>
      </w:pPr>
    </w:p>
    <w:p w:rsidR="00E30FDE" w:rsidRPr="00621C05" w:rsidRDefault="00036E6E" w:rsidP="00036E6E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Most már tudjuk, hogy kik alkothatják a </w:t>
      </w:r>
      <w:proofErr w:type="spellStart"/>
      <w:r>
        <w:rPr>
          <w:sz w:val="24"/>
        </w:rPr>
        <w:t>stakeholderek</w:t>
      </w:r>
      <w:proofErr w:type="spellEnd"/>
      <w:r>
        <w:rPr>
          <w:sz w:val="24"/>
        </w:rPr>
        <w:t xml:space="preserve"> csoportját, de miért fontos ez számunkra? </w:t>
      </w:r>
      <w:r w:rsidR="00E30FDE">
        <w:rPr>
          <w:sz w:val="24"/>
        </w:rPr>
        <w:t>A</w:t>
      </w:r>
      <w:r w:rsidR="00E255E1">
        <w:rPr>
          <w:sz w:val="24"/>
        </w:rPr>
        <w:t>zért, mert a</w:t>
      </w:r>
      <w:r w:rsidR="00E30FDE">
        <w:rPr>
          <w:sz w:val="24"/>
        </w:rPr>
        <w:t xml:space="preserve"> résztvevőelemzés segítségével </w:t>
      </w:r>
      <w:r w:rsidR="00E30FDE" w:rsidRPr="00036E6E">
        <w:rPr>
          <w:sz w:val="24"/>
        </w:rPr>
        <w:t>felmérhetővé válnak</w:t>
      </w:r>
      <w:r w:rsidR="00E255E1">
        <w:rPr>
          <w:sz w:val="24"/>
        </w:rPr>
        <w:t xml:space="preserve"> az alábbi területek</w:t>
      </w:r>
      <w:r w:rsidR="00E30FDE" w:rsidRPr="00036E6E">
        <w:rPr>
          <w:sz w:val="24"/>
        </w:rPr>
        <w:t>:</w:t>
      </w:r>
    </w:p>
    <w:p w:rsidR="00E30FDE" w:rsidRDefault="00E30FDE" w:rsidP="008038C6">
      <w:pPr>
        <w:pStyle w:val="Stlusszabi"/>
        <w:numPr>
          <w:ilvl w:val="0"/>
          <w:numId w:val="5"/>
        </w:numPr>
        <w:spacing w:after="160"/>
        <w:ind w:left="567" w:hanging="283"/>
      </w:pPr>
      <w:r>
        <w:t>a projekt pozitív (és esetleges negatív) hatásai a különféle csoportok esetén,</w:t>
      </w:r>
    </w:p>
    <w:p w:rsidR="00E30FDE" w:rsidRDefault="00E30FDE" w:rsidP="008038C6">
      <w:pPr>
        <w:pStyle w:val="Stlusszabi"/>
        <w:numPr>
          <w:ilvl w:val="0"/>
          <w:numId w:val="5"/>
        </w:numPr>
        <w:spacing w:after="160"/>
        <w:ind w:left="567" w:hanging="283"/>
      </w:pPr>
      <w:r>
        <w:t>a lehetséges partnerek köre és</w:t>
      </w:r>
    </w:p>
    <w:p w:rsidR="00E30FDE" w:rsidRDefault="00E30FDE" w:rsidP="008038C6">
      <w:pPr>
        <w:pStyle w:val="Stlusszabi"/>
        <w:numPr>
          <w:ilvl w:val="0"/>
          <w:numId w:val="5"/>
        </w:numPr>
        <w:spacing w:after="160"/>
        <w:ind w:left="567" w:hanging="283"/>
      </w:pPr>
      <w:r>
        <w:t>a célcsoport eltérő igényei.</w:t>
      </w:r>
    </w:p>
    <w:p w:rsidR="00E30FDE" w:rsidRDefault="00E30FDE" w:rsidP="00867224">
      <w:pPr>
        <w:spacing w:after="160" w:line="360" w:lineRule="auto"/>
        <w:ind w:firstLine="0"/>
        <w:rPr>
          <w:sz w:val="24"/>
        </w:rPr>
      </w:pPr>
      <w:r>
        <w:rPr>
          <w:sz w:val="24"/>
        </w:rPr>
        <w:lastRenderedPageBreak/>
        <w:t xml:space="preserve">A résztvevők kezelésénél </w:t>
      </w:r>
      <w:r w:rsidRPr="00214404">
        <w:rPr>
          <w:b/>
          <w:sz w:val="24"/>
        </w:rPr>
        <w:t>a siker egyik kulcsa a folyamatos párbeszéd, az érdekek folyamatos egyeztetése.</w:t>
      </w:r>
      <w:r>
        <w:rPr>
          <w:sz w:val="24"/>
        </w:rPr>
        <w:t xml:space="preserve"> Általában akkor járunk el megfelelően, ha már a koncepció kidolgozásánál figyelembe vesszük minden érdekelt véleményét. Általános tény, hogy az egyes érdekcsoportok véleményének feltérképezése meghatározó jelentőségű a közösségileg finanszírozott fejlesztések esetén. Az ilyen gazdaságfejlesztési beavatkozások esetén számos potenciális </w:t>
      </w:r>
      <w:proofErr w:type="spellStart"/>
      <w:r>
        <w:rPr>
          <w:sz w:val="24"/>
        </w:rPr>
        <w:t>stakeholder</w:t>
      </w:r>
      <w:proofErr w:type="spellEnd"/>
      <w:r>
        <w:rPr>
          <w:sz w:val="24"/>
        </w:rPr>
        <w:t xml:space="preserve"> csoport kerülhet kapcsolatba a tevékenységgel.</w:t>
      </w:r>
    </w:p>
    <w:p w:rsidR="00E30FDE" w:rsidRDefault="00E30FDE" w:rsidP="00214404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stakeholderek</w:t>
      </w:r>
      <w:proofErr w:type="spellEnd"/>
      <w:r>
        <w:rPr>
          <w:sz w:val="24"/>
        </w:rPr>
        <w:t xml:space="preserve"> vizsgálata nyolc egymásra logikailag épülő lépésből állhat:</w:t>
      </w:r>
    </w:p>
    <w:p w:rsidR="00E30FDE" w:rsidRDefault="00E30FDE" w:rsidP="008038C6">
      <w:pPr>
        <w:pStyle w:val="Stlusszabi"/>
        <w:numPr>
          <w:ilvl w:val="0"/>
          <w:numId w:val="3"/>
        </w:numPr>
        <w:spacing w:after="160"/>
        <w:ind w:left="567" w:hanging="283"/>
      </w:pPr>
      <w:r>
        <w:t>az érintettek azonosítása,</w:t>
      </w:r>
    </w:p>
    <w:p w:rsidR="00E30FDE" w:rsidRDefault="00A51631" w:rsidP="008038C6">
      <w:pPr>
        <w:pStyle w:val="Stlusszabi"/>
        <w:numPr>
          <w:ilvl w:val="0"/>
          <w:numId w:val="3"/>
        </w:numPr>
        <w:spacing w:after="160"/>
        <w:ind w:left="567" w:hanging="283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3546033</wp:posOffset>
            </wp:positionH>
            <wp:positionV relativeFrom="margin">
              <wp:posOffset>2737374</wp:posOffset>
            </wp:positionV>
            <wp:extent cx="2373464" cy="1334550"/>
            <wp:effectExtent l="0" t="0" r="8255" b="0"/>
            <wp:wrapSquare wrapText="bothSides"/>
            <wp:docPr id="7" name="Kép 7" descr="Képtalálat a következőre: „step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éptalálat a következőre: „steps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64" cy="13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FDE">
        <w:t>információgyűjtés az érintettekről,</w:t>
      </w:r>
    </w:p>
    <w:p w:rsidR="00E30FDE" w:rsidRDefault="00E30FDE" w:rsidP="008038C6">
      <w:pPr>
        <w:pStyle w:val="Stlusszabi"/>
        <w:numPr>
          <w:ilvl w:val="0"/>
          <w:numId w:val="3"/>
        </w:numPr>
        <w:spacing w:after="160"/>
        <w:ind w:left="567" w:hanging="283"/>
      </w:pPr>
      <w:r>
        <w:t>az érintettek céljainak azonosítása,</w:t>
      </w:r>
    </w:p>
    <w:p w:rsidR="00E30FDE" w:rsidRDefault="00E30FDE" w:rsidP="008038C6">
      <w:pPr>
        <w:pStyle w:val="Stlusszabi"/>
        <w:numPr>
          <w:ilvl w:val="0"/>
          <w:numId w:val="3"/>
        </w:numPr>
        <w:spacing w:after="160"/>
        <w:ind w:left="567" w:hanging="283"/>
      </w:pPr>
      <w:r>
        <w:t>az érintettek erős és gyenge pontjainak elemzése,</w:t>
      </w:r>
    </w:p>
    <w:p w:rsidR="00E30FDE" w:rsidRDefault="00E30FDE" w:rsidP="008038C6">
      <w:pPr>
        <w:pStyle w:val="Stlusszabi"/>
        <w:numPr>
          <w:ilvl w:val="0"/>
          <w:numId w:val="3"/>
        </w:numPr>
        <w:spacing w:after="160"/>
        <w:ind w:left="567" w:hanging="283"/>
      </w:pPr>
      <w:r>
        <w:t>az érintettek stratégiájának meghatározása,</w:t>
      </w:r>
    </w:p>
    <w:p w:rsidR="00E30FDE" w:rsidRDefault="00E30FDE" w:rsidP="008038C6">
      <w:pPr>
        <w:pStyle w:val="Stlusszabi"/>
        <w:numPr>
          <w:ilvl w:val="0"/>
          <w:numId w:val="3"/>
        </w:numPr>
        <w:spacing w:after="160"/>
        <w:ind w:left="567" w:hanging="283"/>
      </w:pPr>
      <w:r>
        <w:t>az érintettek viselkedésének elemzése,</w:t>
      </w:r>
    </w:p>
    <w:p w:rsidR="00E30FDE" w:rsidRDefault="00E30FDE" w:rsidP="008038C6">
      <w:pPr>
        <w:pStyle w:val="Stlusszabi"/>
        <w:numPr>
          <w:ilvl w:val="0"/>
          <w:numId w:val="3"/>
        </w:numPr>
        <w:spacing w:after="160"/>
        <w:ind w:left="567" w:hanging="283"/>
      </w:pPr>
      <w:r>
        <w:t>az érintettek rangsorolása és</w:t>
      </w:r>
    </w:p>
    <w:p w:rsidR="00E30FDE" w:rsidRPr="00214404" w:rsidRDefault="00E30FDE" w:rsidP="00214404">
      <w:pPr>
        <w:pStyle w:val="Stlusszabi"/>
        <w:numPr>
          <w:ilvl w:val="0"/>
          <w:numId w:val="3"/>
        </w:numPr>
        <w:spacing w:after="160"/>
        <w:ind w:left="567" w:hanging="283"/>
      </w:pPr>
      <w:r>
        <w:t>cselekvési terv kidolgozása.</w:t>
      </w:r>
      <w:r w:rsidR="00214404" w:rsidRPr="00214404">
        <w:t xml:space="preserve"> </w:t>
      </w:r>
    </w:p>
    <w:p w:rsidR="00E30FDE" w:rsidRDefault="00E30FDE" w:rsidP="00214404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Meg kell azonban jegyeznünk, hogy bár ez egy standard, általánosságban jól használható módszertan, nem kell feltétlenül ragaszkodni minden egyes lépéséhez. </w:t>
      </w:r>
      <w:r w:rsidRPr="00214404">
        <w:rPr>
          <w:b/>
          <w:sz w:val="24"/>
        </w:rPr>
        <w:t>Az a fontos, hogy bármilyen eljárást is választunk, az analízis végére rendelkezésre álljanak az érintettekkel kapcsolatos döntéseinkhez szükséges információink,</w:t>
      </w:r>
      <w:r>
        <w:rPr>
          <w:sz w:val="24"/>
        </w:rPr>
        <w:t xml:space="preserve"> és tisztában legyünk legfontosabb elvárásaikkal.</w:t>
      </w:r>
    </w:p>
    <w:p w:rsidR="00E30FDE" w:rsidRDefault="00E30FDE" w:rsidP="00214404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stakeholderek</w:t>
      </w:r>
      <w:proofErr w:type="spellEnd"/>
      <w:r>
        <w:rPr>
          <w:sz w:val="24"/>
        </w:rPr>
        <w:t xml:space="preserve"> kezelésének külön elmélete van, azonban két terület különösen fontos a helyi gazdaságfejlesztésben, ezért ezekkel tételesen is foglalkozunk. Az egyik kérdés a </w:t>
      </w:r>
      <w:proofErr w:type="spellStart"/>
      <w:r w:rsidRPr="00531153">
        <w:rPr>
          <w:b/>
          <w:sz w:val="24"/>
        </w:rPr>
        <w:t>stakeholderek</w:t>
      </w:r>
      <w:proofErr w:type="spellEnd"/>
      <w:r w:rsidRPr="00531153">
        <w:rPr>
          <w:b/>
          <w:sz w:val="24"/>
        </w:rPr>
        <w:t xml:space="preserve"> felkutatása és döntéshozatalba történő bevonása.</w:t>
      </w:r>
      <w:r w:rsidRPr="002271F7">
        <w:rPr>
          <w:sz w:val="24"/>
        </w:rPr>
        <w:t xml:space="preserve"> </w:t>
      </w:r>
      <w:r>
        <w:rPr>
          <w:sz w:val="24"/>
        </w:rPr>
        <w:t xml:space="preserve">Gyakori probléma, hogy a szereplők egy részét el sem érjük a tervezési fázisban, illetve hogy az érdektelenség és az alulmotiváltság miatt nem vagyunk képesek érdemi információkat szerezni tőlük. A másik kulcskérdés a </w:t>
      </w:r>
      <w:proofErr w:type="spellStart"/>
      <w:r w:rsidRPr="006F1C47">
        <w:rPr>
          <w:b/>
          <w:sz w:val="24"/>
        </w:rPr>
        <w:t>stakeholderek</w:t>
      </w:r>
      <w:proofErr w:type="spellEnd"/>
      <w:r w:rsidRPr="006F1C47">
        <w:rPr>
          <w:b/>
          <w:sz w:val="24"/>
        </w:rPr>
        <w:t xml:space="preserve"> fontosságának meghatározása.</w:t>
      </w:r>
      <w:r w:rsidRPr="00CA095C">
        <w:rPr>
          <w:sz w:val="24"/>
        </w:rPr>
        <w:t xml:space="preserve"> </w:t>
      </w:r>
      <w:r>
        <w:rPr>
          <w:sz w:val="24"/>
        </w:rPr>
        <w:t xml:space="preserve">Láthattuk, hogy kevés olyan szereplő képzelhető el, aki valamilyen szinten nem érintett a gazdaságfejlesztési projektek során. A </w:t>
      </w:r>
      <w:proofErr w:type="spellStart"/>
      <w:r>
        <w:rPr>
          <w:sz w:val="24"/>
        </w:rPr>
        <w:t>stakeholderek</w:t>
      </w:r>
      <w:proofErr w:type="spellEnd"/>
      <w:r>
        <w:rPr>
          <w:sz w:val="24"/>
        </w:rPr>
        <w:t xml:space="preserve"> érintettségének és érdekérvényesítő képességének feltérképezését </w:t>
      </w:r>
      <w:r>
        <w:rPr>
          <w:sz w:val="24"/>
        </w:rPr>
        <w:lastRenderedPageBreak/>
        <w:t xml:space="preserve">segíti az ún. </w:t>
      </w:r>
      <w:r w:rsidRPr="006F1C47">
        <w:rPr>
          <w:b/>
          <w:sz w:val="24"/>
        </w:rPr>
        <w:t>hatalom-érdekeltség mátrix,</w:t>
      </w:r>
      <w:r>
        <w:rPr>
          <w:sz w:val="24"/>
        </w:rPr>
        <w:t xml:space="preserve"> amely segítségével könnyen kiválaszthatjuk a meghatározó szereplőket (4. ábra).</w:t>
      </w:r>
    </w:p>
    <w:p w:rsidR="00E30FDE" w:rsidRPr="0029140D" w:rsidRDefault="00E30FDE" w:rsidP="008038C6">
      <w:pPr>
        <w:keepNext/>
        <w:spacing w:after="160" w:line="360" w:lineRule="auto"/>
        <w:jc w:val="center"/>
        <w:rPr>
          <w:sz w:val="24"/>
          <w:szCs w:val="24"/>
        </w:rPr>
      </w:pPr>
      <w:r w:rsidRPr="0029140D">
        <w:rPr>
          <w:i/>
          <w:sz w:val="24"/>
          <w:szCs w:val="24"/>
        </w:rPr>
        <w:t>4. ábra</w:t>
      </w:r>
      <w:r w:rsidRPr="0029140D">
        <w:rPr>
          <w:sz w:val="24"/>
          <w:szCs w:val="24"/>
        </w:rPr>
        <w:t xml:space="preserve"> A </w:t>
      </w:r>
      <w:proofErr w:type="spellStart"/>
      <w:r w:rsidRPr="0029140D">
        <w:rPr>
          <w:sz w:val="24"/>
          <w:szCs w:val="24"/>
        </w:rPr>
        <w:t>stakeholderek</w:t>
      </w:r>
      <w:proofErr w:type="spellEnd"/>
      <w:r w:rsidRPr="0029140D">
        <w:rPr>
          <w:sz w:val="24"/>
          <w:szCs w:val="24"/>
        </w:rPr>
        <w:t xml:space="preserve"> hatalom-érdekeltség mátrixa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2493"/>
        <w:gridCol w:w="2495"/>
      </w:tblGrid>
      <w:tr w:rsidR="00E30FDE" w:rsidTr="00466763">
        <w:trPr>
          <w:trHeight w:val="80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Érdekeltségük:</w:t>
            </w:r>
          </w:p>
          <w:p w:rsidR="00E30FDE" w:rsidRDefault="00E30FDE" w:rsidP="008038C6">
            <w:pPr>
              <w:keepNext/>
              <w:spacing w:after="160" w:line="360" w:lineRule="auto"/>
              <w:ind w:firstLine="467"/>
            </w:pPr>
            <w:r>
              <w:rPr>
                <w:b/>
                <w:bCs/>
              </w:rPr>
              <w:t>Hatalmuk</w:t>
            </w:r>
            <w:r>
              <w:t>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Gyenge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Erős</w:t>
            </w:r>
          </w:p>
        </w:tc>
      </w:tr>
      <w:tr w:rsidR="00E30FDE" w:rsidTr="00466763">
        <w:trPr>
          <w:trHeight w:val="28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Nagy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  <w:jc w:val="center"/>
            </w:pPr>
            <w:r>
              <w:t>“Szürke eminenciás”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  <w:jc w:val="center"/>
            </w:pPr>
            <w:r>
              <w:t>“Kulcsfigura”</w:t>
            </w:r>
          </w:p>
        </w:tc>
      </w:tr>
      <w:tr w:rsidR="00E30FDE" w:rsidTr="00466763">
        <w:trPr>
          <w:trHeight w:val="3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Kicsi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  <w:jc w:val="center"/>
            </w:pPr>
            <w:r>
              <w:t>“Kibic”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  <w:jc w:val="center"/>
            </w:pPr>
            <w:r>
              <w:t>“Statiszta”</w:t>
            </w:r>
          </w:p>
        </w:tc>
      </w:tr>
    </w:tbl>
    <w:p w:rsidR="00E30FDE" w:rsidRPr="0024476F" w:rsidRDefault="00E30FDE" w:rsidP="008038C6">
      <w:pPr>
        <w:keepNext/>
        <w:spacing w:after="160" w:line="360" w:lineRule="auto"/>
        <w:ind w:firstLine="900"/>
        <w:jc w:val="left"/>
        <w:rPr>
          <w:i/>
          <w:sz w:val="24"/>
          <w:szCs w:val="24"/>
        </w:rPr>
      </w:pPr>
      <w:r w:rsidRPr="0024476F">
        <w:rPr>
          <w:i/>
          <w:sz w:val="24"/>
          <w:szCs w:val="24"/>
        </w:rPr>
        <w:t xml:space="preserve">Forrás: </w:t>
      </w:r>
      <w:proofErr w:type="spellStart"/>
      <w:r w:rsidRPr="0024476F">
        <w:rPr>
          <w:sz w:val="24"/>
          <w:szCs w:val="24"/>
        </w:rPr>
        <w:t>Dinya</w:t>
      </w:r>
      <w:proofErr w:type="spellEnd"/>
      <w:r w:rsidRPr="0024476F">
        <w:rPr>
          <w:sz w:val="24"/>
          <w:szCs w:val="24"/>
        </w:rPr>
        <w:t xml:space="preserve"> (1995, 77. o.)</w:t>
      </w:r>
    </w:p>
    <w:p w:rsidR="00E30FDE" w:rsidRDefault="00E30FDE" w:rsidP="006F1C47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Az elemzés során természetesen a </w:t>
      </w:r>
      <w:r w:rsidRPr="006F1C47">
        <w:rPr>
          <w:b/>
          <w:sz w:val="24"/>
        </w:rPr>
        <w:t>kulcsfigurákra fordítunk fokozott figyelmet,</w:t>
      </w:r>
      <w:r>
        <w:rPr>
          <w:sz w:val="24"/>
        </w:rPr>
        <w:t xml:space="preserve"> illetve még két kategória meghatározott szereplőit érdemes érdemben vizsgálni. </w:t>
      </w:r>
      <w:r w:rsidRPr="006F1C47">
        <w:rPr>
          <w:b/>
          <w:sz w:val="24"/>
        </w:rPr>
        <w:t>A „szürke eminenciások” közül a pozitív attitűddel bíró szereplők érdeklődését érdemes felkelteni az elképzeléseink iránt,</w:t>
      </w:r>
      <w:r>
        <w:rPr>
          <w:sz w:val="24"/>
        </w:rPr>
        <w:t xml:space="preserve"> illetve hasznos lehet annak a mérlegelése, hogy mely „statiszta” kategóriába tartozó szereplők tehetnek szert a közeljövőben nagyobb hatalomra.</w:t>
      </w:r>
    </w:p>
    <w:p w:rsidR="00E30FDE" w:rsidRDefault="00E30FDE" w:rsidP="006F1C47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Egy másik további lehetőség a </w:t>
      </w:r>
      <w:proofErr w:type="spellStart"/>
      <w:r>
        <w:rPr>
          <w:sz w:val="24"/>
        </w:rPr>
        <w:t>stakeholderek</w:t>
      </w:r>
      <w:proofErr w:type="spellEnd"/>
      <w:r>
        <w:rPr>
          <w:sz w:val="24"/>
        </w:rPr>
        <w:t xml:space="preserve"> finomabb elemzésére az uniós módszertan által támogatott ún. </w:t>
      </w:r>
      <w:proofErr w:type="spellStart"/>
      <w:r w:rsidRPr="006F1C47">
        <w:rPr>
          <w:b/>
          <w:sz w:val="24"/>
        </w:rPr>
        <w:t>stakeholder-tábla</w:t>
      </w:r>
      <w:proofErr w:type="spellEnd"/>
      <w:r w:rsidRPr="006F1C47">
        <w:rPr>
          <w:b/>
          <w:sz w:val="24"/>
        </w:rPr>
        <w:t xml:space="preserve"> használata</w:t>
      </w:r>
      <w:r>
        <w:rPr>
          <w:sz w:val="24"/>
        </w:rPr>
        <w:t xml:space="preserve"> (2. táblázat). Az összegző jellegű táblázatban a programokban kulcsfiguraként szereplő </w:t>
      </w:r>
      <w:proofErr w:type="spellStart"/>
      <w:r>
        <w:rPr>
          <w:sz w:val="24"/>
        </w:rPr>
        <w:t>stakeholderek</w:t>
      </w:r>
      <w:proofErr w:type="spellEnd"/>
      <w:r>
        <w:rPr>
          <w:sz w:val="24"/>
        </w:rPr>
        <w:t xml:space="preserve"> releváns és érdemi tulajdonságait lehet áttekinthető módon szintetizálni. A módszer alkalmazása mellett szól, hogy </w:t>
      </w:r>
      <w:r w:rsidRPr="006F1C47">
        <w:rPr>
          <w:b/>
          <w:sz w:val="24"/>
        </w:rPr>
        <w:t>az egyes csoportokat több vetületben is elemezhetők, kezdve a közvetlen hatásoktól egészen a horizontális célokhoz történő esetleges kapcsolódásukhoz</w:t>
      </w:r>
      <w:r>
        <w:rPr>
          <w:sz w:val="24"/>
        </w:rPr>
        <w:t>. Ezen elemzés a projektciklus első lépése, még a helyzetelemzést is megelőzi. Az analízis konkrét elvégzésére számos módszer létezik, az esetek nagy többségében ún. résztvevő-táblát készítenek, amelyeken feltüntetik a résztvevőket és a hozzájuk tartozó legfontosabb ismereteket. Egy lehetséges megoldás például, ha felsorolják:</w:t>
      </w:r>
    </w:p>
    <w:p w:rsidR="00E30FDE" w:rsidRDefault="00E30FDE" w:rsidP="008038C6">
      <w:pPr>
        <w:pStyle w:val="Stlusszabi"/>
        <w:numPr>
          <w:ilvl w:val="0"/>
          <w:numId w:val="6"/>
        </w:numPr>
        <w:spacing w:after="160"/>
        <w:ind w:left="567" w:hanging="283"/>
      </w:pPr>
      <w:r>
        <w:t>a résztvevőket,</w:t>
      </w:r>
    </w:p>
    <w:p w:rsidR="00E30FDE" w:rsidRDefault="00E30FDE" w:rsidP="008038C6">
      <w:pPr>
        <w:pStyle w:val="Stlusszabi"/>
        <w:numPr>
          <w:ilvl w:val="0"/>
          <w:numId w:val="6"/>
        </w:numPr>
        <w:spacing w:after="160"/>
        <w:ind w:left="567" w:hanging="283"/>
      </w:pPr>
      <w:r>
        <w:t>a résztvevők releváns tulajdonságait, jellemzőit,</w:t>
      </w:r>
    </w:p>
    <w:p w:rsidR="00E30FDE" w:rsidRDefault="00E30FDE" w:rsidP="008038C6">
      <w:pPr>
        <w:pStyle w:val="Stlusszabi"/>
        <w:numPr>
          <w:ilvl w:val="0"/>
          <w:numId w:val="6"/>
        </w:numPr>
        <w:spacing w:after="160"/>
        <w:ind w:left="567" w:hanging="283"/>
      </w:pPr>
      <w:r>
        <w:t>a résztvevők előtt álló lehetőségeket és</w:t>
      </w:r>
    </w:p>
    <w:p w:rsidR="00E30FDE" w:rsidRDefault="00E30FDE" w:rsidP="008038C6">
      <w:pPr>
        <w:pStyle w:val="Stlusszabi"/>
        <w:numPr>
          <w:ilvl w:val="0"/>
          <w:numId w:val="6"/>
        </w:numPr>
        <w:spacing w:after="160"/>
        <w:ind w:left="567" w:hanging="283"/>
      </w:pPr>
      <w:r>
        <w:t>a projekt potenciális hatásait az egyes résztvevőkre.</w:t>
      </w:r>
    </w:p>
    <w:p w:rsidR="00E30FDE" w:rsidRPr="0027070B" w:rsidRDefault="00E30FDE" w:rsidP="008038C6">
      <w:pPr>
        <w:keepNext/>
        <w:spacing w:after="160" w:line="360" w:lineRule="auto"/>
        <w:jc w:val="center"/>
        <w:rPr>
          <w:b/>
          <w:sz w:val="24"/>
          <w:szCs w:val="24"/>
        </w:rPr>
      </w:pPr>
      <w:r w:rsidRPr="0027070B">
        <w:rPr>
          <w:i/>
          <w:sz w:val="24"/>
          <w:szCs w:val="24"/>
        </w:rPr>
        <w:lastRenderedPageBreak/>
        <w:t>2. táblázat</w:t>
      </w:r>
      <w:r w:rsidRPr="0027070B">
        <w:rPr>
          <w:b/>
          <w:sz w:val="24"/>
          <w:szCs w:val="24"/>
        </w:rPr>
        <w:t xml:space="preserve"> </w:t>
      </w:r>
      <w:proofErr w:type="spellStart"/>
      <w:r w:rsidRPr="0027070B">
        <w:rPr>
          <w:sz w:val="24"/>
          <w:szCs w:val="24"/>
        </w:rPr>
        <w:t>Stakeholder-tábla</w:t>
      </w:r>
      <w:proofErr w:type="spellEnd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360"/>
        <w:gridCol w:w="1350"/>
        <w:gridCol w:w="1576"/>
        <w:gridCol w:w="1242"/>
      </w:tblGrid>
      <w:tr w:rsidR="00E30FDE" w:rsidTr="00466763">
        <w:trPr>
          <w:trHeight w:val="10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  <w:ind w:firstLine="0"/>
              <w:jc w:val="center"/>
            </w:pPr>
            <w:proofErr w:type="spellStart"/>
            <w:r>
              <w:t>Stakeholder</w:t>
            </w:r>
            <w:proofErr w:type="spellEnd"/>
          </w:p>
          <w:p w:rsidR="00E30FDE" w:rsidRDefault="00E30FDE" w:rsidP="008038C6">
            <w:pPr>
              <w:keepNext/>
              <w:spacing w:after="16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Pr="0027070B" w:rsidRDefault="00E30FDE" w:rsidP="008038C6">
            <w:pPr>
              <w:keepNext/>
              <w:spacing w:after="16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7070B">
              <w:rPr>
                <w:sz w:val="24"/>
                <w:szCs w:val="24"/>
              </w:rPr>
              <w:t>Tulajdonságok</w:t>
            </w:r>
          </w:p>
          <w:p w:rsidR="00E30FDE" w:rsidRDefault="00E30FDE" w:rsidP="008038C6">
            <w:pPr>
              <w:keepNext/>
              <w:spacing w:after="160" w:line="360" w:lineRule="auto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Pr="0027070B" w:rsidRDefault="00E30FDE" w:rsidP="008038C6">
            <w:pPr>
              <w:keepNext/>
              <w:spacing w:after="16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7070B">
              <w:rPr>
                <w:sz w:val="24"/>
                <w:szCs w:val="24"/>
              </w:rPr>
              <w:t>Érdeklődés,</w:t>
            </w:r>
          </w:p>
          <w:p w:rsidR="00E30FDE" w:rsidRPr="0027070B" w:rsidRDefault="00E30FDE" w:rsidP="008038C6">
            <w:pPr>
              <w:keepNext/>
              <w:spacing w:after="16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7070B">
              <w:rPr>
                <w:sz w:val="24"/>
                <w:szCs w:val="24"/>
              </w:rPr>
              <w:t>kilátások</w:t>
            </w:r>
          </w:p>
          <w:p w:rsidR="00E30FDE" w:rsidRDefault="00E30FDE" w:rsidP="008038C6">
            <w:pPr>
              <w:keepNext/>
              <w:spacing w:after="160" w:line="36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Pr="0027070B" w:rsidRDefault="00E30FDE" w:rsidP="008038C6">
            <w:pPr>
              <w:keepNext/>
              <w:spacing w:after="16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7070B">
              <w:rPr>
                <w:sz w:val="24"/>
                <w:szCs w:val="24"/>
              </w:rPr>
              <w:t>EU horizontális</w:t>
            </w:r>
          </w:p>
          <w:p w:rsidR="00E30FDE" w:rsidRPr="0027070B" w:rsidRDefault="00E30FDE" w:rsidP="008038C6">
            <w:pPr>
              <w:keepNext/>
              <w:spacing w:after="16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7070B">
              <w:rPr>
                <w:sz w:val="24"/>
                <w:szCs w:val="24"/>
              </w:rPr>
              <w:t>céljai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Pr="0027070B" w:rsidRDefault="00E30FDE" w:rsidP="008038C6">
            <w:pPr>
              <w:keepNext/>
              <w:spacing w:after="16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7070B">
              <w:rPr>
                <w:sz w:val="24"/>
                <w:szCs w:val="24"/>
              </w:rPr>
              <w:t>Lehetőségek,</w:t>
            </w:r>
          </w:p>
          <w:p w:rsidR="00E30FDE" w:rsidRPr="0027070B" w:rsidRDefault="00E30FDE" w:rsidP="008038C6">
            <w:pPr>
              <w:keepNext/>
              <w:spacing w:after="16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7070B">
              <w:rPr>
                <w:sz w:val="24"/>
                <w:szCs w:val="24"/>
              </w:rPr>
              <w:t>hiányosságok</w:t>
            </w:r>
          </w:p>
          <w:p w:rsidR="00E30FDE" w:rsidRPr="0027070B" w:rsidRDefault="00E30FDE" w:rsidP="008038C6">
            <w:pPr>
              <w:keepNext/>
              <w:spacing w:after="16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Pr="0027070B" w:rsidRDefault="00E30FDE" w:rsidP="008038C6">
            <w:pPr>
              <w:keepNext/>
              <w:spacing w:after="160"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7070B">
              <w:rPr>
                <w:sz w:val="24"/>
                <w:szCs w:val="24"/>
              </w:rPr>
              <w:t>Következ-mények</w:t>
            </w:r>
            <w:proofErr w:type="spellEnd"/>
          </w:p>
          <w:p w:rsidR="00E30FDE" w:rsidRPr="0027070B" w:rsidRDefault="00E30FDE" w:rsidP="008038C6">
            <w:pPr>
              <w:keepNext/>
              <w:spacing w:after="16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0FDE" w:rsidTr="00466763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  <w:jc w:val="center"/>
            </w:pPr>
            <w:r>
              <w:t>X szervezet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</w:tr>
      <w:tr w:rsidR="00E30FDE" w:rsidTr="00466763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  <w:jc w:val="center"/>
            </w:pPr>
            <w:r>
              <w:t>Y vállalat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</w:tr>
      <w:tr w:rsidR="00E30FDE" w:rsidTr="00466763">
        <w:trPr>
          <w:trHeight w:val="5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  <w:ind w:firstLine="0"/>
              <w:jc w:val="center"/>
            </w:pPr>
            <w:r w:rsidRPr="0027070B">
              <w:rPr>
                <w:sz w:val="24"/>
                <w:szCs w:val="24"/>
              </w:rPr>
              <w:t>Z magánszemély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E" w:rsidRDefault="00E30FDE" w:rsidP="008038C6">
            <w:pPr>
              <w:keepNext/>
              <w:spacing w:after="160" w:line="360" w:lineRule="auto"/>
            </w:pPr>
          </w:p>
        </w:tc>
      </w:tr>
    </w:tbl>
    <w:p w:rsidR="00E30FDE" w:rsidRDefault="00E30FDE" w:rsidP="008038C6">
      <w:pPr>
        <w:keepNext/>
        <w:spacing w:after="160" w:line="360" w:lineRule="auto"/>
        <w:rPr>
          <w:sz w:val="24"/>
          <w:szCs w:val="24"/>
        </w:rPr>
      </w:pPr>
      <w:r w:rsidRPr="0027070B">
        <w:rPr>
          <w:i/>
          <w:sz w:val="24"/>
          <w:szCs w:val="24"/>
        </w:rPr>
        <w:t xml:space="preserve">Forrás: </w:t>
      </w:r>
      <w:r w:rsidRPr="00D869EA">
        <w:rPr>
          <w:sz w:val="24"/>
          <w:szCs w:val="24"/>
        </w:rPr>
        <w:t>EC (2001)</w:t>
      </w:r>
    </w:p>
    <w:p w:rsidR="00263DB6" w:rsidRPr="00682DD9" w:rsidRDefault="00263DB6" w:rsidP="00263DB6">
      <w:pPr>
        <w:pStyle w:val="Cmsor1"/>
        <w:numPr>
          <w:ilvl w:val="0"/>
          <w:numId w:val="0"/>
        </w:numPr>
        <w:rPr>
          <w:color w:val="5B9BD5" w:themeColor="accent1"/>
          <w:sz w:val="32"/>
        </w:rPr>
      </w:pPr>
      <w:r w:rsidRPr="00682DD9">
        <w:rPr>
          <w:color w:val="5B9BD5" w:themeColor="accent1"/>
          <w:sz w:val="32"/>
        </w:rPr>
        <w:t>OLVASOK-CSELEKSZEM-TAPASZTALOK- TANULOK</w:t>
      </w:r>
    </w:p>
    <w:p w:rsidR="00263DB6" w:rsidRDefault="00263DB6" w:rsidP="00263DB6">
      <w:pPr>
        <w:rPr>
          <w:i/>
        </w:rPr>
      </w:pPr>
    </w:p>
    <w:p w:rsidR="00263DB6" w:rsidRPr="009261BF" w:rsidRDefault="00263DB6" w:rsidP="00263DB6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263DB6" w:rsidRDefault="005120B2" w:rsidP="00263DB6">
      <w:pPr>
        <w:rPr>
          <w:i/>
        </w:rPr>
      </w:pPr>
      <w:proofErr w:type="spellStart"/>
      <w:r>
        <w:rPr>
          <w:i/>
        </w:rPr>
        <w:t>Garaj</w:t>
      </w:r>
      <w:proofErr w:type="spellEnd"/>
      <w:r>
        <w:rPr>
          <w:i/>
        </w:rPr>
        <w:t xml:space="preserve"> Erika Projektmenedzsment – a projekt érintettjei.</w:t>
      </w:r>
    </w:p>
    <w:p w:rsidR="005120B2" w:rsidRDefault="005120B2" w:rsidP="00263DB6">
      <w:pPr>
        <w:rPr>
          <w:i/>
        </w:rPr>
      </w:pPr>
      <w:hyperlink r:id="rId10" w:history="1">
        <w:r w:rsidRPr="00C27781">
          <w:rPr>
            <w:rStyle w:val="Hiperhivatkozs"/>
            <w:i/>
          </w:rPr>
          <w:t>https://www.tankonyvtar.hu/hu/tartalom/tamop412A/2010-0017_35_projektmenedzsment/ch01s04.html</w:t>
        </w:r>
      </w:hyperlink>
    </w:p>
    <w:p w:rsidR="005120B2" w:rsidRDefault="005120B2" w:rsidP="005120B2">
      <w:pPr>
        <w:rPr>
          <w:i/>
        </w:rPr>
      </w:pPr>
      <w:r>
        <w:rPr>
          <w:i/>
        </w:rPr>
        <w:t>12</w:t>
      </w:r>
      <w:r>
        <w:rPr>
          <w:i/>
        </w:rPr>
        <w:t xml:space="preserve"> perces olvasnivaló azoknak, akik még mélyítenék a tudásuk a projekt-ciklus menedzsment témakörében</w:t>
      </w:r>
    </w:p>
    <w:p w:rsidR="005120B2" w:rsidRDefault="005120B2" w:rsidP="00263DB6">
      <w:pPr>
        <w:rPr>
          <w:i/>
        </w:rPr>
      </w:pPr>
    </w:p>
    <w:p w:rsidR="005120B2" w:rsidRDefault="005120B2" w:rsidP="00263DB6">
      <w:pPr>
        <w:rPr>
          <w:i/>
        </w:rPr>
      </w:pPr>
    </w:p>
    <w:p w:rsidR="00263DB6" w:rsidRPr="009261BF" w:rsidRDefault="00263DB6" w:rsidP="00263DB6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263DB6" w:rsidRDefault="00263DB6" w:rsidP="005120B2">
      <w:pPr>
        <w:spacing w:after="160"/>
        <w:ind w:firstLine="0"/>
        <w:rPr>
          <w:i/>
        </w:rPr>
      </w:pPr>
    </w:p>
    <w:p w:rsidR="00263DB6" w:rsidRDefault="00263DB6" w:rsidP="00263DB6">
      <w:pPr>
        <w:spacing w:after="160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, Mi tekinthető </w:t>
      </w:r>
      <w:proofErr w:type="spellStart"/>
      <w:r>
        <w:rPr>
          <w:i/>
        </w:rPr>
        <w:t>stakeholdernek</w:t>
      </w:r>
      <w:proofErr w:type="spellEnd"/>
      <w:r>
        <w:rPr>
          <w:i/>
        </w:rPr>
        <w:t xml:space="preserve"> az uniós terminológia szerint? </w:t>
      </w:r>
    </w:p>
    <w:p w:rsidR="00263DB6" w:rsidRDefault="00263DB6" w:rsidP="00263DB6">
      <w:pPr>
        <w:spacing w:after="160"/>
        <w:rPr>
          <w:i/>
        </w:rPr>
      </w:pPr>
      <w:r>
        <w:rPr>
          <w:i/>
        </w:rPr>
        <w:t xml:space="preserve">b, Sorolj fel 5-6 lehetséges </w:t>
      </w:r>
      <w:proofErr w:type="spellStart"/>
      <w:r>
        <w:rPr>
          <w:i/>
        </w:rPr>
        <w:t>stakeholdert</w:t>
      </w:r>
      <w:proofErr w:type="spellEnd"/>
      <w:r>
        <w:rPr>
          <w:i/>
        </w:rPr>
        <w:t>!</w:t>
      </w:r>
    </w:p>
    <w:p w:rsidR="00263DB6" w:rsidRDefault="00263DB6" w:rsidP="00263DB6">
      <w:pPr>
        <w:spacing w:after="160" w:line="360" w:lineRule="auto"/>
        <w:ind w:left="709" w:hanging="142"/>
        <w:rPr>
          <w:i/>
        </w:rPr>
      </w:pPr>
      <w:r>
        <w:rPr>
          <w:i/>
        </w:rPr>
        <w:t xml:space="preserve">c, Igaz vagy hamis az alábbi állítás: </w:t>
      </w:r>
      <w:r w:rsidR="00E92A5D">
        <w:rPr>
          <w:i/>
        </w:rPr>
        <w:t>a „szürke eminenciásnak” nagy az érdekeltségük, kicsi a hatalmuk</w:t>
      </w:r>
      <w:r w:rsidRPr="0087293B">
        <w:rPr>
          <w:i/>
        </w:rPr>
        <w:t>.</w:t>
      </w:r>
    </w:p>
    <w:p w:rsidR="00263DB6" w:rsidRPr="009261BF" w:rsidRDefault="00263DB6" w:rsidP="00263DB6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263DB6" w:rsidRDefault="00263DB6" w:rsidP="00263DB6">
      <w:pPr>
        <w:rPr>
          <w:i/>
        </w:rPr>
      </w:pPr>
    </w:p>
    <w:p w:rsidR="005120B2" w:rsidRDefault="005120B2" w:rsidP="00263DB6">
      <w:pPr>
        <w:rPr>
          <w:i/>
        </w:rPr>
      </w:pPr>
      <w:r>
        <w:rPr>
          <w:i/>
        </w:rPr>
        <w:t xml:space="preserve">Képzelj el egy „saját fejlesztési projektet”! Ez lesz a gyakorló feladat, számos megoldást ezen lehet majd illusztrálni. Első lépésként </w:t>
      </w:r>
      <w:proofErr w:type="gramStart"/>
      <w:r>
        <w:rPr>
          <w:i/>
        </w:rPr>
        <w:t>konkrét</w:t>
      </w:r>
      <w:r w:rsidR="006F1140">
        <w:rPr>
          <w:i/>
        </w:rPr>
        <w:t>(</w:t>
      </w:r>
      <w:proofErr w:type="gramEnd"/>
      <w:r>
        <w:rPr>
          <w:i/>
        </w:rPr>
        <w:t>!</w:t>
      </w:r>
      <w:r w:rsidR="006F1140">
        <w:rPr>
          <w:i/>
        </w:rPr>
        <w:t>)</w:t>
      </w:r>
      <w:r>
        <w:rPr>
          <w:i/>
        </w:rPr>
        <w:t xml:space="preserve"> </w:t>
      </w:r>
      <w:proofErr w:type="gramStart"/>
      <w:r>
        <w:rPr>
          <w:i/>
        </w:rPr>
        <w:t>személyekkel</w:t>
      </w:r>
      <w:proofErr w:type="gramEnd"/>
      <w:r>
        <w:rPr>
          <w:i/>
        </w:rPr>
        <w:t xml:space="preserve">, szervezetekkel töltsd ki a </w:t>
      </w:r>
      <w:proofErr w:type="spellStart"/>
      <w:r>
        <w:rPr>
          <w:i/>
        </w:rPr>
        <w:t>stakeholder</w:t>
      </w:r>
      <w:proofErr w:type="spellEnd"/>
      <w:r>
        <w:rPr>
          <w:i/>
        </w:rPr>
        <w:t xml:space="preserve"> listát.</w:t>
      </w:r>
      <w:bookmarkStart w:id="0" w:name="_GoBack"/>
      <w:bookmarkEnd w:id="0"/>
    </w:p>
    <w:p w:rsidR="00263DB6" w:rsidRDefault="00263DB6" w:rsidP="00263DB6">
      <w:pPr>
        <w:rPr>
          <w:i/>
        </w:rPr>
      </w:pPr>
    </w:p>
    <w:p w:rsidR="00E57DBA" w:rsidRDefault="00E57DBA" w:rsidP="008038C6">
      <w:pPr>
        <w:spacing w:after="160" w:line="360" w:lineRule="auto"/>
        <w:rPr>
          <w:sz w:val="24"/>
          <w:szCs w:val="24"/>
        </w:rPr>
      </w:pPr>
    </w:p>
    <w:p w:rsidR="00E57DBA" w:rsidRDefault="00E57DBA" w:rsidP="00E57DBA">
      <w:pPr>
        <w:rPr>
          <w:sz w:val="24"/>
          <w:szCs w:val="24"/>
        </w:rPr>
      </w:pPr>
      <w:r w:rsidRPr="002C705A">
        <w:rPr>
          <w:noProof/>
        </w:rPr>
        <w:lastRenderedPageBreak/>
        <w:drawing>
          <wp:inline distT="0" distB="0" distL="0" distR="0" wp14:anchorId="4FF8A200" wp14:editId="106BAC93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DBA" w:rsidRDefault="00E57DBA" w:rsidP="00E57DBA">
      <w:pPr>
        <w:rPr>
          <w:sz w:val="24"/>
          <w:szCs w:val="24"/>
        </w:rPr>
      </w:pPr>
    </w:p>
    <w:p w:rsidR="00E57DBA" w:rsidRPr="0027070B" w:rsidRDefault="00E57DBA" w:rsidP="00E57DBA">
      <w:pPr>
        <w:rPr>
          <w:i/>
          <w:sz w:val="24"/>
          <w:szCs w:val="24"/>
        </w:rPr>
      </w:pPr>
    </w:p>
    <w:sectPr w:rsidR="00E57DBA" w:rsidRPr="0027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D5EDE1C"/>
    <w:lvl w:ilvl="0">
      <w:start w:val="2"/>
      <w:numFmt w:val="bullet"/>
      <w:pStyle w:val="Stlusszabi"/>
      <w:lvlText w:val="-"/>
      <w:lvlJc w:val="left"/>
      <w:pPr>
        <w:tabs>
          <w:tab w:val="num" w:pos="7230"/>
        </w:tabs>
        <w:ind w:left="7230" w:hanging="567"/>
      </w:pPr>
      <w:rPr>
        <w:rFonts w:ascii="Times New Roman" w:hAnsi="Times New Roman"/>
      </w:rPr>
    </w:lvl>
  </w:abstractNum>
  <w:abstractNum w:abstractNumId="1" w15:restartNumberingAfterBreak="0">
    <w:nsid w:val="206C00AF"/>
    <w:multiLevelType w:val="hybridMultilevel"/>
    <w:tmpl w:val="B2805EF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0A30F1"/>
    <w:multiLevelType w:val="hybridMultilevel"/>
    <w:tmpl w:val="7A7EA62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947EAF"/>
    <w:multiLevelType w:val="hybridMultilevel"/>
    <w:tmpl w:val="9516F25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ACF2D40"/>
    <w:multiLevelType w:val="hybridMultilevel"/>
    <w:tmpl w:val="4B2A200E"/>
    <w:lvl w:ilvl="0" w:tplc="040E000F">
      <w:start w:val="1"/>
      <w:numFmt w:val="decimal"/>
      <w:lvlText w:val="%1."/>
      <w:lvlJc w:val="left"/>
      <w:pPr>
        <w:ind w:left="7023" w:hanging="360"/>
      </w:pPr>
    </w:lvl>
    <w:lvl w:ilvl="1" w:tplc="040E0019" w:tentative="1">
      <w:start w:val="1"/>
      <w:numFmt w:val="lowerLetter"/>
      <w:lvlText w:val="%2."/>
      <w:lvlJc w:val="left"/>
      <w:pPr>
        <w:ind w:left="7743" w:hanging="360"/>
      </w:pPr>
    </w:lvl>
    <w:lvl w:ilvl="2" w:tplc="040E001B" w:tentative="1">
      <w:start w:val="1"/>
      <w:numFmt w:val="lowerRoman"/>
      <w:lvlText w:val="%3."/>
      <w:lvlJc w:val="right"/>
      <w:pPr>
        <w:ind w:left="8463" w:hanging="180"/>
      </w:pPr>
    </w:lvl>
    <w:lvl w:ilvl="3" w:tplc="040E000F" w:tentative="1">
      <w:start w:val="1"/>
      <w:numFmt w:val="decimal"/>
      <w:lvlText w:val="%4."/>
      <w:lvlJc w:val="left"/>
      <w:pPr>
        <w:ind w:left="9183" w:hanging="360"/>
      </w:pPr>
    </w:lvl>
    <w:lvl w:ilvl="4" w:tplc="040E0019" w:tentative="1">
      <w:start w:val="1"/>
      <w:numFmt w:val="lowerLetter"/>
      <w:lvlText w:val="%5."/>
      <w:lvlJc w:val="left"/>
      <w:pPr>
        <w:ind w:left="9903" w:hanging="360"/>
      </w:pPr>
    </w:lvl>
    <w:lvl w:ilvl="5" w:tplc="040E001B" w:tentative="1">
      <w:start w:val="1"/>
      <w:numFmt w:val="lowerRoman"/>
      <w:lvlText w:val="%6."/>
      <w:lvlJc w:val="right"/>
      <w:pPr>
        <w:ind w:left="10623" w:hanging="180"/>
      </w:pPr>
    </w:lvl>
    <w:lvl w:ilvl="6" w:tplc="040E000F" w:tentative="1">
      <w:start w:val="1"/>
      <w:numFmt w:val="decimal"/>
      <w:lvlText w:val="%7."/>
      <w:lvlJc w:val="left"/>
      <w:pPr>
        <w:ind w:left="11343" w:hanging="360"/>
      </w:pPr>
    </w:lvl>
    <w:lvl w:ilvl="7" w:tplc="040E0019" w:tentative="1">
      <w:start w:val="1"/>
      <w:numFmt w:val="lowerLetter"/>
      <w:lvlText w:val="%8."/>
      <w:lvlJc w:val="left"/>
      <w:pPr>
        <w:ind w:left="12063" w:hanging="360"/>
      </w:pPr>
    </w:lvl>
    <w:lvl w:ilvl="8" w:tplc="040E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6" w15:restartNumberingAfterBreak="0">
    <w:nsid w:val="7C801A66"/>
    <w:multiLevelType w:val="hybridMultilevel"/>
    <w:tmpl w:val="2DCEA854"/>
    <w:lvl w:ilvl="0" w:tplc="F6CEF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5F"/>
    <w:rsid w:val="00036E6E"/>
    <w:rsid w:val="00102B8C"/>
    <w:rsid w:val="001C0077"/>
    <w:rsid w:val="00214404"/>
    <w:rsid w:val="00263DB6"/>
    <w:rsid w:val="00272329"/>
    <w:rsid w:val="004074F6"/>
    <w:rsid w:val="00451C49"/>
    <w:rsid w:val="00472C67"/>
    <w:rsid w:val="004778C2"/>
    <w:rsid w:val="005120B2"/>
    <w:rsid w:val="00531153"/>
    <w:rsid w:val="0054197D"/>
    <w:rsid w:val="005903D8"/>
    <w:rsid w:val="006F1140"/>
    <w:rsid w:val="006F1C47"/>
    <w:rsid w:val="008038C6"/>
    <w:rsid w:val="00867224"/>
    <w:rsid w:val="009860A5"/>
    <w:rsid w:val="00A51631"/>
    <w:rsid w:val="00B53E5F"/>
    <w:rsid w:val="00C52032"/>
    <w:rsid w:val="00C855E4"/>
    <w:rsid w:val="00CB1100"/>
    <w:rsid w:val="00D40ECB"/>
    <w:rsid w:val="00DE630F"/>
    <w:rsid w:val="00E255E1"/>
    <w:rsid w:val="00E30FDE"/>
    <w:rsid w:val="00E57DBA"/>
    <w:rsid w:val="00E92A5D"/>
    <w:rsid w:val="00EB4348"/>
    <w:rsid w:val="00FA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3011-BF68-4811-A3D4-19E877D9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3E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263DB6"/>
    <w:pPr>
      <w:keepNext/>
      <w:numPr>
        <w:numId w:val="7"/>
      </w:numPr>
      <w:tabs>
        <w:tab w:val="left" w:pos="374"/>
      </w:tabs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263DB6"/>
    <w:pPr>
      <w:keepNext/>
      <w:numPr>
        <w:ilvl w:val="1"/>
        <w:numId w:val="7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263DB6"/>
    <w:pPr>
      <w:keepNext/>
      <w:numPr>
        <w:ilvl w:val="2"/>
        <w:numId w:val="7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263DB6"/>
    <w:pPr>
      <w:keepNext/>
      <w:numPr>
        <w:ilvl w:val="3"/>
        <w:numId w:val="7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263DB6"/>
    <w:pPr>
      <w:keepNext/>
      <w:numPr>
        <w:ilvl w:val="4"/>
        <w:numId w:val="7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263DB6"/>
    <w:pPr>
      <w:keepNext/>
      <w:numPr>
        <w:ilvl w:val="5"/>
        <w:numId w:val="7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263DB6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63DB6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63DB6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E5F"/>
    <w:pPr>
      <w:ind w:left="720"/>
      <w:contextualSpacing/>
    </w:pPr>
  </w:style>
  <w:style w:type="character" w:customStyle="1" w:styleId="FogalomtrChar">
    <w:name w:val="Fogalomtár Char"/>
    <w:basedOn w:val="Bekezdsalapbettpusa"/>
    <w:rsid w:val="00E30FDE"/>
    <w:rPr>
      <w:b/>
      <w:bCs/>
      <w:smallCaps/>
      <w:noProof w:val="0"/>
      <w:sz w:val="24"/>
      <w:szCs w:val="24"/>
      <w:lang w:val="hu-HU"/>
    </w:rPr>
  </w:style>
  <w:style w:type="paragraph" w:customStyle="1" w:styleId="Stlusszabi">
    <w:name w:val="Stílusszabi"/>
    <w:basedOn w:val="Norml"/>
    <w:rsid w:val="00E30FDE"/>
    <w:pPr>
      <w:numPr>
        <w:numId w:val="2"/>
      </w:numPr>
      <w:spacing w:line="360" w:lineRule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D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DB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80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263DB6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263DB6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263DB6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263DB6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263DB6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263DB6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263DB6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63DB6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63DB6"/>
    <w:rPr>
      <w:rFonts w:ascii="Arial" w:eastAsia="Times New Roman" w:hAnsi="Arial" w:cs="Times New Roman"/>
      <w:b/>
      <w:i/>
      <w:sz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512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www.tankonyvtar.hu/hu/tartalom/tamop412A/2010-0017_35_projektmenedzsment/ch01s0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964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Dr. Imreh-Tóth</dc:creator>
  <cp:lastModifiedBy>Mónika Dr. Imreh-Tóth</cp:lastModifiedBy>
  <cp:revision>3</cp:revision>
  <cp:lastPrinted>2018-09-04T07:36:00Z</cp:lastPrinted>
  <dcterms:created xsi:type="dcterms:W3CDTF">2019-03-18T10:12:00Z</dcterms:created>
  <dcterms:modified xsi:type="dcterms:W3CDTF">2019-03-25T12:57:00Z</dcterms:modified>
</cp:coreProperties>
</file>