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DD7" w:rsidTr="003A3E3A">
        <w:tc>
          <w:tcPr>
            <w:tcW w:w="3020" w:type="dxa"/>
            <w:shd w:val="clear" w:color="auto" w:fill="EDEDED" w:themeFill="accent3" w:themeFillTint="33"/>
          </w:tcPr>
          <w:p w:rsidR="00067DD7" w:rsidRDefault="00067DD7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0EE6B006" wp14:editId="42FB82E9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7DD7" w:rsidRPr="00837EA1" w:rsidRDefault="00067DD7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067DD7" w:rsidRDefault="00067DD7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5DA0F58" wp14:editId="598B6F9F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DD7" w:rsidRDefault="00067DD7" w:rsidP="003A3E3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067DD7" w:rsidRPr="007606EE" w:rsidRDefault="00067DD7" w:rsidP="003A3E3A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0F65B6" w:rsidRPr="000F65B6" w:rsidRDefault="000F65B6" w:rsidP="000F65B6">
            <w:pPr>
              <w:pStyle w:val="NormlWeb"/>
              <w:rPr>
                <w:i/>
              </w:rPr>
            </w:pPr>
            <w:r w:rsidRPr="000F65B6">
              <w:rPr>
                <w:i/>
              </w:rPr>
              <w:t>„Két dologra kell törekednünk életünkben: először arra, hogy megszerezzük, amit akarunk, másodszor arra, hogy élvezzük. Csak a legbölcsebb emberek érik el a másodikat.”</w:t>
            </w:r>
          </w:p>
          <w:p w:rsidR="00067DD7" w:rsidRPr="00437A0A" w:rsidRDefault="000F65B6" w:rsidP="000F65B6">
            <w:pPr>
              <w:pStyle w:val="NormlWeb"/>
              <w:jc w:val="right"/>
            </w:pPr>
            <w:r>
              <w:t>(Dale Carnegie)</w:t>
            </w:r>
          </w:p>
        </w:tc>
      </w:tr>
    </w:tbl>
    <w:p w:rsidR="00067DD7" w:rsidRDefault="00067DD7" w:rsidP="00067DD7">
      <w:pPr>
        <w:rPr>
          <w:i/>
          <w:sz w:val="24"/>
          <w:szCs w:val="24"/>
        </w:rPr>
      </w:pPr>
    </w:p>
    <w:p w:rsidR="00067DD7" w:rsidRPr="003F7597" w:rsidRDefault="00067DD7" w:rsidP="00067DD7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067DD7" w:rsidRPr="003F7597" w:rsidRDefault="00067DD7" w:rsidP="00067DD7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2 </w:t>
      </w:r>
      <w:r w:rsidRPr="003F7597">
        <w:rPr>
          <w:rFonts w:cstheme="minorHAnsi"/>
          <w:b/>
        </w:rPr>
        <w:t>olvasólecke</w:t>
      </w:r>
    </w:p>
    <w:p w:rsidR="00FE7085" w:rsidRDefault="00FE7085" w:rsidP="00AE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032" w:rsidRPr="00067DD7" w:rsidRDefault="00067DD7" w:rsidP="00067DD7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D7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AE1032" w:rsidRPr="00067DD7">
        <w:rPr>
          <w:rFonts w:ascii="Times New Roman" w:hAnsi="Times New Roman" w:cs="Times New Roman"/>
          <w:b/>
          <w:sz w:val="36"/>
          <w:szCs w:val="36"/>
        </w:rPr>
        <w:t>donorfinanszírozott projektek költségvetése</w:t>
      </w:r>
    </w:p>
    <w:p w:rsidR="00AE1032" w:rsidRPr="00AE1032" w:rsidRDefault="00AE1032" w:rsidP="00067D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AE1032">
        <w:rPr>
          <w:rFonts w:ascii="Times New Roman" w:eastAsia="Times New Roman" w:hAnsi="Times New Roman" w:cs="Times New Roman"/>
          <w:sz w:val="24"/>
          <w:lang w:eastAsia="hu-HU"/>
        </w:rPr>
        <w:t>A végleges költségvetés elkészítésénél rendkívül fontosak a donorfinanszírozott projektek költségvetésével szemben támasztott speciális elvárások. Számos speciális feltétel nehezítheti a költségvetés elkészítését, ezek közül a legfontosabbak az alábbiak.</w:t>
      </w:r>
    </w:p>
    <w:p w:rsidR="00AE1032" w:rsidRPr="00AE1032" w:rsidRDefault="00AE1032" w:rsidP="005A21A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E103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elszámolható költségek,</w:t>
      </w:r>
    </w:p>
    <w:p w:rsidR="00AE1032" w:rsidRPr="00AE1032" w:rsidRDefault="00AE1032" w:rsidP="005A21A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E103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belső arányok,</w:t>
      </w:r>
    </w:p>
    <w:p w:rsidR="00AE1032" w:rsidRPr="00067DD7" w:rsidRDefault="00A41B82" w:rsidP="00067DD7">
      <w:pPr>
        <w:pStyle w:val="Listaszerbekezds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5398770</wp:posOffset>
            </wp:positionV>
            <wp:extent cx="2286000" cy="2000250"/>
            <wp:effectExtent l="0" t="0" r="0" b="0"/>
            <wp:wrapSquare wrapText="bothSides"/>
            <wp:docPr id="3" name="Kép 3" descr="C:\Users\tothm_000\AppData\Local\Microsoft\Windows\INetCache\Content.MSO\DF9FA4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thm_000\AppData\Local\Microsoft\Windows\INetCache\Content.MSO\DF9FA4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032" w:rsidRPr="00AE103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reális költségtervezés, ezen belül is különösen a piaci áraknak történő megfelelés igazolása.</w:t>
      </w:r>
    </w:p>
    <w:p w:rsidR="00AE1032" w:rsidRDefault="00AE1032" w:rsidP="00067D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AE1032">
        <w:rPr>
          <w:rFonts w:ascii="Times New Roman" w:eastAsia="Times New Roman" w:hAnsi="Times New Roman" w:cs="Times New Roman"/>
          <w:sz w:val="24"/>
          <w:lang w:eastAsia="hu-HU"/>
        </w:rPr>
        <w:t xml:space="preserve">Az egyik legfontosabb 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szabály, amivel tisztában kell lennünk, hogy főszabályként az </w:t>
      </w:r>
      <w:r w:rsidRPr="00067DD7">
        <w:rPr>
          <w:rFonts w:ascii="Times New Roman" w:eastAsia="Times New Roman" w:hAnsi="Times New Roman" w:cs="Times New Roman"/>
          <w:b/>
          <w:sz w:val="24"/>
          <w:lang w:eastAsia="hu-HU"/>
        </w:rPr>
        <w:t>érdemi hibák a költségvetés tervezésénél ún. nem hiánypótolható formai hibának számítanak.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(Ez alapjaiban véve azt jelenti, hogy a pályázat érdemi bírálat nélkül szükségképpen elutasításra kerül – függetlenül annak szakmai tartalmától.</w:t>
      </w:r>
      <w:r w:rsidR="005A21AA">
        <w:rPr>
          <w:rFonts w:ascii="Times New Roman" w:eastAsia="Times New Roman" w:hAnsi="Times New Roman" w:cs="Times New Roman"/>
          <w:sz w:val="24"/>
          <w:lang w:eastAsia="hu-HU"/>
        </w:rPr>
        <w:t>) Ezért különösen érdemes az alábbiakra odafigyelnünk.</w:t>
      </w:r>
    </w:p>
    <w:p w:rsidR="005A21AA" w:rsidRDefault="005A21AA" w:rsidP="00067D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067DD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Minden pályázatnál tételesen ismertetésre kerülnek a projekt keretein belül </w:t>
      </w:r>
      <w:r w:rsidRPr="00067DD7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elszámolható</w:t>
      </w:r>
      <w:r w:rsidRPr="00067DD7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Pr="00067DD7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költségek</w:t>
      </w:r>
      <w:r w:rsidRPr="00067DD7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 Ezt a pályázati kiírásból, illetve az útmutatóból tudhatjuk meg. Minden egyes pályázattípus esetén vannak </w:t>
      </w:r>
      <w:r w:rsidR="00F93B02">
        <w:rPr>
          <w:rFonts w:ascii="Times New Roman" w:eastAsia="Times New Roman" w:hAnsi="Times New Roman" w:cs="Times New Roman"/>
          <w:sz w:val="24"/>
          <w:lang w:eastAsia="hu-HU"/>
        </w:rPr>
        <w:t xml:space="preserve">olyan „tipikus” és nagy valószínűséggel megjelenő költségek, amelyek az adott típusra jellemzők. A donorok általában ezekre a költségekre szokták </w:t>
      </w:r>
      <w:r w:rsidR="00F93B02">
        <w:rPr>
          <w:rFonts w:ascii="Times New Roman" w:eastAsia="Times New Roman" w:hAnsi="Times New Roman" w:cs="Times New Roman"/>
          <w:sz w:val="24"/>
          <w:lang w:eastAsia="hu-HU"/>
        </w:rPr>
        <w:lastRenderedPageBreak/>
        <w:t>leszűkíteni a pályázatban elszámolható költségek körét, amelyek tételesen bemutatásra is kerülnek.</w:t>
      </w:r>
    </w:p>
    <w:p w:rsidR="00F93B02" w:rsidRDefault="00F93B02" w:rsidP="00067DD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F93B02" w:rsidRDefault="00F93B02" w:rsidP="0006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Még egyszer szeretnénk </w:t>
      </w:r>
      <w:proofErr w:type="gramStart"/>
      <w:r>
        <w:rPr>
          <w:rFonts w:ascii="Times New Roman" w:eastAsia="Times New Roman" w:hAnsi="Times New Roman" w:cs="Times New Roman"/>
          <w:sz w:val="24"/>
          <w:lang w:eastAsia="hu-HU"/>
        </w:rPr>
        <w:t>kiemelni</w:t>
      </w:r>
      <w:proofErr w:type="gramEnd"/>
      <w:r>
        <w:rPr>
          <w:rFonts w:ascii="Times New Roman" w:eastAsia="Times New Roman" w:hAnsi="Times New Roman" w:cs="Times New Roman"/>
          <w:sz w:val="24"/>
          <w:lang w:eastAsia="hu-HU"/>
        </w:rPr>
        <w:t xml:space="preserve"> hogy nem elszámolható költség feltűntetése a projekt költségvetésében főszabályként nem hiánypótolható formai hiba!</w:t>
      </w:r>
    </w:p>
    <w:p w:rsidR="00F93B02" w:rsidRDefault="00F93B02" w:rsidP="00067D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Szintén fontos az </w:t>
      </w:r>
      <w:r w:rsidRPr="00067DD7">
        <w:rPr>
          <w:rFonts w:ascii="Times New Roman" w:eastAsia="Times New Roman" w:hAnsi="Times New Roman" w:cs="Times New Roman"/>
          <w:b/>
          <w:sz w:val="24"/>
          <w:lang w:eastAsia="hu-HU"/>
        </w:rPr>
        <w:t>előre definiált belső arányok maradéktalan betartása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. A donorok gyakran élnek ezzel a megoldással, pontosan azért, hogy „rákényszerítsék” a </w:t>
      </w:r>
      <w:r w:rsidR="00E8232D">
        <w:rPr>
          <w:rFonts w:ascii="Times New Roman" w:eastAsia="Times New Roman" w:hAnsi="Times New Roman" w:cs="Times New Roman"/>
          <w:sz w:val="24"/>
          <w:lang w:eastAsia="hu-HU"/>
        </w:rPr>
        <w:t>pályázókat olyan költségvetések készítésére, amelyek megfelelnek az elvárásaiknak (illetve az általuk fontos terültekre csoportosítsák a költségek jelentős hányadát). Néhány gyakran alkalmazott belső korlátozás:</w:t>
      </w:r>
    </w:p>
    <w:p w:rsidR="00E8232D" w:rsidRPr="005640AF" w:rsidRDefault="00E8232D" w:rsidP="005640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Általában </w:t>
      </w:r>
      <w:r w:rsidRPr="005640AF">
        <w:rPr>
          <w:rFonts w:ascii="Times New Roman" w:eastAsia="Times New Roman" w:hAnsi="Times New Roman" w:cs="Times New Roman"/>
          <w:b/>
          <w:sz w:val="24"/>
          <w:lang w:eastAsia="hu-HU"/>
        </w:rPr>
        <w:t>a szorosan vett szakmai tevékenységhez rendelt alsó korlát.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 Az ilyen esetekben a költségvetésben előre meg van határozva, hogy a teljes költségvetés minimum hány százalékának kell ilyen típusú költségnek lennie.</w:t>
      </w:r>
    </w:p>
    <w:p w:rsidR="009A4C9F" w:rsidRPr="005640AF" w:rsidRDefault="00E8232D" w:rsidP="005640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5640A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Fordított logikát követ az ún. járulékos költségek felülről történő lekorlátozása. 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Ezekben az esetekben </w:t>
      </w:r>
      <w:r w:rsidR="00535A4D" w:rsidRPr="005640AF">
        <w:rPr>
          <w:rFonts w:ascii="Times New Roman" w:eastAsia="Times New Roman" w:hAnsi="Times New Roman" w:cs="Times New Roman"/>
          <w:sz w:val="24"/>
          <w:lang w:eastAsia="hu-HU"/>
        </w:rPr>
        <w:t>az adott tétel maximális aránya kerül meghatározásra a költségvetésen belül. Itt pontosan az a cél, hogy ezekre</w:t>
      </w:r>
      <w:r w:rsidR="00AF410A"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 a tételekre a költségvetés </w:t>
      </w:r>
      <w:r w:rsidR="009A4C9F" w:rsidRPr="005640AF">
        <w:rPr>
          <w:rFonts w:ascii="Times New Roman" w:eastAsia="Times New Roman" w:hAnsi="Times New Roman" w:cs="Times New Roman"/>
          <w:sz w:val="24"/>
          <w:lang w:eastAsia="hu-HU"/>
        </w:rPr>
        <w:t>minél kisebb hányada fordítódjon. Gyakran ebbe a kategóriába tartozik a projektmenedzsment költsége, a nyilvánosság biztosításának költsége, a közbeszerzés költsége, illetve az általános jellegű költségek (</w:t>
      </w:r>
      <w:proofErr w:type="spellStart"/>
      <w:r w:rsidR="009A4C9F" w:rsidRPr="005640AF">
        <w:rPr>
          <w:rFonts w:ascii="Times New Roman" w:eastAsia="Times New Roman" w:hAnsi="Times New Roman" w:cs="Times New Roman"/>
          <w:sz w:val="24"/>
          <w:lang w:eastAsia="hu-HU"/>
        </w:rPr>
        <w:t>overhead</w:t>
      </w:r>
      <w:proofErr w:type="spellEnd"/>
      <w:r w:rsidR="009A4C9F" w:rsidRPr="005640AF">
        <w:rPr>
          <w:rFonts w:ascii="Times New Roman" w:eastAsia="Times New Roman" w:hAnsi="Times New Roman" w:cs="Times New Roman"/>
          <w:sz w:val="24"/>
          <w:lang w:eastAsia="hu-HU"/>
        </w:rPr>
        <w:t>, rezsi stb.)</w:t>
      </w:r>
    </w:p>
    <w:p w:rsidR="009A4C9F" w:rsidRDefault="00994EA6" w:rsidP="00564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1EA4939">
            <wp:simplePos x="0" y="0"/>
            <wp:positionH relativeFrom="margin">
              <wp:posOffset>3512820</wp:posOffset>
            </wp:positionH>
            <wp:positionV relativeFrom="margin">
              <wp:posOffset>5865495</wp:posOffset>
            </wp:positionV>
            <wp:extent cx="2286000" cy="1524000"/>
            <wp:effectExtent l="0" t="0" r="0" b="0"/>
            <wp:wrapSquare wrapText="bothSides"/>
            <wp:docPr id="5" name="Kép 5" descr="Képtalálat a következőre: „budg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budget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C9F">
        <w:rPr>
          <w:rFonts w:ascii="Times New Roman" w:eastAsia="Times New Roman" w:hAnsi="Times New Roman" w:cs="Times New Roman"/>
          <w:sz w:val="24"/>
          <w:lang w:eastAsia="hu-HU"/>
        </w:rPr>
        <w:t xml:space="preserve">A harmadik problémakör </w:t>
      </w:r>
      <w:r w:rsidR="009A4C9F" w:rsidRPr="005640AF">
        <w:rPr>
          <w:rFonts w:ascii="Times New Roman" w:eastAsia="Times New Roman" w:hAnsi="Times New Roman" w:cs="Times New Roman"/>
          <w:b/>
          <w:sz w:val="24"/>
          <w:lang w:eastAsia="hu-HU"/>
        </w:rPr>
        <w:t>a költségvetés reális voltának alátámasztása.</w:t>
      </w:r>
      <w:r w:rsidR="009A4C9F">
        <w:rPr>
          <w:rFonts w:ascii="Times New Roman" w:eastAsia="Times New Roman" w:hAnsi="Times New Roman" w:cs="Times New Roman"/>
          <w:sz w:val="24"/>
          <w:lang w:eastAsia="hu-HU"/>
        </w:rPr>
        <w:t xml:space="preserve"> Ez az a </w:t>
      </w:r>
      <w:proofErr w:type="gramStart"/>
      <w:r w:rsidR="009A4C9F">
        <w:rPr>
          <w:rFonts w:ascii="Times New Roman" w:eastAsia="Times New Roman" w:hAnsi="Times New Roman" w:cs="Times New Roman"/>
          <w:sz w:val="24"/>
          <w:lang w:eastAsia="hu-HU"/>
        </w:rPr>
        <w:t>terület</w:t>
      </w:r>
      <w:proofErr w:type="gramEnd"/>
      <w:r w:rsidR="009A4C9F">
        <w:rPr>
          <w:rFonts w:ascii="Times New Roman" w:eastAsia="Times New Roman" w:hAnsi="Times New Roman" w:cs="Times New Roman"/>
          <w:sz w:val="24"/>
          <w:lang w:eastAsia="hu-HU"/>
        </w:rPr>
        <w:t xml:space="preserve"> amely mindig bizonytalanságokkal terhelt, az esetek jelentős részben még közelítőleg is nehéz megállapítani az egzakt árát egy terméknek, de különösen egy szolgáltatásnak, nem is beszélve a</w:t>
      </w:r>
      <w:r w:rsidR="00E64211">
        <w:rPr>
          <w:rFonts w:ascii="Times New Roman" w:eastAsia="Times New Roman" w:hAnsi="Times New Roman" w:cs="Times New Roman"/>
          <w:sz w:val="24"/>
          <w:lang w:eastAsia="hu-HU"/>
        </w:rPr>
        <w:t xml:space="preserve"> projekt keretein belül történő</w:t>
      </w:r>
      <w:r w:rsidR="009A4C9F">
        <w:rPr>
          <w:rFonts w:ascii="Times New Roman" w:eastAsia="Times New Roman" w:hAnsi="Times New Roman" w:cs="Times New Roman"/>
          <w:sz w:val="24"/>
          <w:lang w:eastAsia="hu-HU"/>
        </w:rPr>
        <w:t xml:space="preserve"> munkavégzés </w:t>
      </w:r>
      <w:r w:rsidR="00E64211">
        <w:rPr>
          <w:rFonts w:ascii="Times New Roman" w:eastAsia="Times New Roman" w:hAnsi="Times New Roman" w:cs="Times New Roman"/>
          <w:sz w:val="24"/>
          <w:lang w:eastAsia="hu-HU"/>
        </w:rPr>
        <w:t>jellegű tevékenységekről. Az alábbiakban pár „</w:t>
      </w:r>
      <w:r w:rsidR="0061091C">
        <w:rPr>
          <w:rFonts w:ascii="Times New Roman" w:eastAsia="Times New Roman" w:hAnsi="Times New Roman" w:cs="Times New Roman"/>
          <w:sz w:val="24"/>
          <w:lang w:eastAsia="hu-HU"/>
        </w:rPr>
        <w:t>írott és íra</w:t>
      </w:r>
      <w:r w:rsidR="00E64211">
        <w:rPr>
          <w:rFonts w:ascii="Times New Roman" w:eastAsia="Times New Roman" w:hAnsi="Times New Roman" w:cs="Times New Roman"/>
          <w:sz w:val="24"/>
          <w:lang w:eastAsia="hu-HU"/>
        </w:rPr>
        <w:t>tlan” szabályt ismertetünk a teljesség igénye nélkül.</w:t>
      </w:r>
    </w:p>
    <w:p w:rsidR="00E64211" w:rsidRPr="005640AF" w:rsidRDefault="00E64211" w:rsidP="00A41B8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A41B82">
        <w:rPr>
          <w:rFonts w:ascii="Times New Roman" w:eastAsia="Times New Roman" w:hAnsi="Times New Roman" w:cs="Times New Roman"/>
          <w:b/>
          <w:sz w:val="24"/>
          <w:lang w:eastAsia="hu-HU"/>
        </w:rPr>
        <w:t>Három független árajánlat módszere: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 a donorok általában elvárják több árajánlat bekérését a tényleges piaci ár igazolása céljából. Ezen a területen az eljárási rend szigor</w:t>
      </w:r>
      <w:r w:rsidR="0061091C" w:rsidRPr="005640AF">
        <w:rPr>
          <w:rFonts w:ascii="Times New Roman" w:eastAsia="Times New Roman" w:hAnsi="Times New Roman" w:cs="Times New Roman"/>
          <w:sz w:val="24"/>
          <w:lang w:eastAsia="hu-HU"/>
        </w:rPr>
        <w:t>odott, a 2007-2013-as periódusba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n elegendő volt csak a tényleges beszerzés lebonyolításakor bekérni a három független árajánlatot, a jelenlegi (2014-2020) 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lastRenderedPageBreak/>
        <w:t>periódusban már a költségvetés megalapozásához szükséges a három árajánlat bekérése. Ez az esetek egy részében – pl. unikális jószágok esetén – komoly utánajárást és adminisztratív terhet jelent a pályázóknak.</w:t>
      </w:r>
    </w:p>
    <w:p w:rsidR="0061091C" w:rsidRPr="005640AF" w:rsidRDefault="0061091C" w:rsidP="00A41B8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Szintén érdekes kérdés </w:t>
      </w:r>
      <w:r w:rsidRPr="00A41B82">
        <w:rPr>
          <w:rFonts w:ascii="Times New Roman" w:eastAsia="Times New Roman" w:hAnsi="Times New Roman" w:cs="Times New Roman"/>
          <w:b/>
          <w:sz w:val="24"/>
          <w:lang w:eastAsia="hu-HU"/>
        </w:rPr>
        <w:t>a szolgáltatások beárazása</w:t>
      </w:r>
      <w:r w:rsidRPr="00A41B82">
        <w:rPr>
          <w:rFonts w:ascii="Times New Roman" w:eastAsia="Times New Roman" w:hAnsi="Times New Roman" w:cs="Times New Roman"/>
          <w:sz w:val="24"/>
          <w:lang w:eastAsia="hu-HU"/>
        </w:rPr>
        <w:t>.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 Itt általában praktikus különböző szakmai ajánlásokra támaszkodni, ráadásul ezen elv alkalmazásánál a tényleges megvalósítás során sem fogunk bajba kerülni az irreális tervezés következtében. Hosszabb távon érdemes megismerkednünk a „mérnöknap”, a „szakértői óradíj”, </w:t>
      </w:r>
      <w:r w:rsidR="00BC685C" w:rsidRPr="005640AF">
        <w:rPr>
          <w:rFonts w:ascii="Times New Roman" w:eastAsia="Times New Roman" w:hAnsi="Times New Roman" w:cs="Times New Roman"/>
          <w:sz w:val="24"/>
          <w:lang w:eastAsia="hu-HU"/>
        </w:rPr>
        <w:t>„</w:t>
      </w:r>
      <w:r w:rsidRPr="005640AF">
        <w:rPr>
          <w:rFonts w:ascii="Times New Roman" w:eastAsia="Times New Roman" w:hAnsi="Times New Roman" w:cs="Times New Roman"/>
          <w:sz w:val="24"/>
          <w:lang w:eastAsia="hu-HU"/>
        </w:rPr>
        <w:t>ügyvédi óradíj” és hasonló kifejezésekkel és ezek tényleges tartalmával.</w:t>
      </w:r>
      <w:r w:rsidR="00BC685C" w:rsidRPr="005640AF">
        <w:rPr>
          <w:rFonts w:ascii="Times New Roman" w:eastAsia="Times New Roman" w:hAnsi="Times New Roman" w:cs="Times New Roman"/>
          <w:sz w:val="24"/>
          <w:lang w:eastAsia="hu-HU"/>
        </w:rPr>
        <w:t xml:space="preserve"> Beruházási projektek esetében hasonló kapaszkodó (nem egyszer kötelező) az ún. építési normagyűjtemény és ehhez hasonló iránymutatások.</w:t>
      </w:r>
    </w:p>
    <w:p w:rsidR="00BC685C" w:rsidRDefault="00994EA6" w:rsidP="00564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2950845</wp:posOffset>
            </wp:positionV>
            <wp:extent cx="2857500" cy="1600200"/>
            <wp:effectExtent l="0" t="0" r="0" b="0"/>
            <wp:wrapSquare wrapText="bothSides"/>
            <wp:docPr id="6" name="Kép 6" descr="C:\Users\tothm_000\AppData\Local\Microsoft\Windows\INetCache\Content.MSO\DBAE0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thm_000\AppData\Local\Microsoft\Windows\INetCache\Content.MSO\DBAE07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85C">
        <w:rPr>
          <w:rFonts w:ascii="Times New Roman" w:eastAsia="Times New Roman" w:hAnsi="Times New Roman" w:cs="Times New Roman"/>
          <w:sz w:val="24"/>
          <w:lang w:eastAsia="hu-HU"/>
        </w:rPr>
        <w:t xml:space="preserve">Végül röviden kitérnénk </w:t>
      </w:r>
      <w:r w:rsidR="00BC685C" w:rsidRPr="005640A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projektek keretein belül fizethető bérjellegű javadalmazások </w:t>
      </w:r>
      <w:r w:rsidR="00BC685C">
        <w:rPr>
          <w:rFonts w:ascii="Times New Roman" w:eastAsia="Times New Roman" w:hAnsi="Times New Roman" w:cs="Times New Roman"/>
          <w:sz w:val="24"/>
          <w:lang w:eastAsia="hu-HU"/>
        </w:rPr>
        <w:t>kérdéskörére. Az első fontos kérdés, hogy az adott munkavállaló a konkrét projektre lett felvéve, azaz teljes munkaidőben a projektben dolgozik, vagy csak többletmunkát végez a projektben a napi munkavégzésén felül. Az alábbi megfontolások nem kötelező érvényűek, de követésük esetén számos ”kellemetlenségnek” elejét vehetjük.</w:t>
      </w:r>
    </w:p>
    <w:p w:rsidR="005640AF" w:rsidRPr="00A41B82" w:rsidRDefault="00C84623" w:rsidP="00A41B8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A41B82">
        <w:rPr>
          <w:rFonts w:ascii="Times New Roman" w:eastAsia="Times New Roman" w:hAnsi="Times New Roman" w:cs="Times New Roman"/>
          <w:b/>
          <w:sz w:val="24"/>
          <w:lang w:eastAsia="hu-HU"/>
        </w:rPr>
        <w:t>Teljes munkaidős munkavállaló esetében i</w:t>
      </w:r>
      <w:r w:rsidRPr="00A41B82">
        <w:rPr>
          <w:rFonts w:ascii="Times New Roman" w:eastAsia="Times New Roman" w:hAnsi="Times New Roman" w:cs="Times New Roman"/>
          <w:sz w:val="24"/>
          <w:lang w:eastAsia="hu-HU"/>
        </w:rPr>
        <w:t>gyekezzünk az adott munkakörhöz és végzettséghez tartozó munkaerőpiac által meghatározott átlagbér környékén maradni. Minden egyes tevékenységet a piac nagyjából beáraz, praktikus ettől nem eltérni.</w:t>
      </w:r>
    </w:p>
    <w:p w:rsidR="00C84623" w:rsidRPr="00A41B82" w:rsidRDefault="00C84623" w:rsidP="00A41B8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A41B82">
        <w:rPr>
          <w:rFonts w:ascii="Times New Roman" w:eastAsia="Times New Roman" w:hAnsi="Times New Roman" w:cs="Times New Roman"/>
          <w:b/>
          <w:sz w:val="24"/>
          <w:lang w:eastAsia="hu-HU"/>
        </w:rPr>
        <w:t>Többletmunka esetében</w:t>
      </w:r>
      <w:r w:rsidRPr="00A41B82">
        <w:rPr>
          <w:rFonts w:ascii="Times New Roman" w:eastAsia="Times New Roman" w:hAnsi="Times New Roman" w:cs="Times New Roman"/>
          <w:sz w:val="24"/>
          <w:lang w:eastAsia="hu-HU"/>
        </w:rPr>
        <w:t xml:space="preserve"> kicsit összetettebb a helyzet. Akkor biztosan nem hibázunk, ha a főtevékenységhez tartozó munkabér időarányos részét adjuk a </w:t>
      </w:r>
      <w:r w:rsidR="00E634BD" w:rsidRPr="00A41B82">
        <w:rPr>
          <w:rFonts w:ascii="Times New Roman" w:eastAsia="Times New Roman" w:hAnsi="Times New Roman" w:cs="Times New Roman"/>
          <w:sz w:val="24"/>
          <w:lang w:eastAsia="hu-HU"/>
        </w:rPr>
        <w:t xml:space="preserve">munkavállalóknak. Meg kell azonban jegyeznünk, hogy ez egyrészt a projektszemlélet logikájának is ellentmond (nem azt csinálja a </w:t>
      </w:r>
      <w:proofErr w:type="gramStart"/>
      <w:r w:rsidR="00E634BD" w:rsidRPr="00A41B82">
        <w:rPr>
          <w:rFonts w:ascii="Times New Roman" w:eastAsia="Times New Roman" w:hAnsi="Times New Roman" w:cs="Times New Roman"/>
          <w:sz w:val="24"/>
          <w:lang w:eastAsia="hu-HU"/>
        </w:rPr>
        <w:t>projektben</w:t>
      </w:r>
      <w:proofErr w:type="gramEnd"/>
      <w:r w:rsidR="00E634BD" w:rsidRPr="00A41B82">
        <w:rPr>
          <w:rFonts w:ascii="Times New Roman" w:eastAsia="Times New Roman" w:hAnsi="Times New Roman" w:cs="Times New Roman"/>
          <w:sz w:val="24"/>
          <w:lang w:eastAsia="hu-HU"/>
        </w:rPr>
        <w:t xml:space="preserve"> mint a rendszeres munkavégzésekor), másrészt többletmunkát is végez. A „szokásjog” szerint kialakult üvegplafon itt az átlagos órabér duplája, ezen összeg fölé ne menjünk lehetőleg a projektekben végzett tevékenységek esetében sem. Szinén hasonló ajánlás, hogy egy teljes munkaidőben dolgozó munkatárs napi négy óra többletmunkánál többet ne vállaljon a projektek terhére sem.</w:t>
      </w:r>
    </w:p>
    <w:p w:rsidR="00E634BD" w:rsidRDefault="00E634BD" w:rsidP="005640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A fentiekben áttekintettük a költségvetések készítésével kapcsolatos legfontosabb alapelveket és ajánlásokat. Természetesen számos további feltétel is megjelenhet az adott kiírások keretein </w:t>
      </w:r>
      <w:r>
        <w:rPr>
          <w:rFonts w:ascii="Times New Roman" w:eastAsia="Times New Roman" w:hAnsi="Times New Roman" w:cs="Times New Roman"/>
          <w:sz w:val="24"/>
          <w:lang w:eastAsia="hu-HU"/>
        </w:rPr>
        <w:lastRenderedPageBreak/>
        <w:t>belül, ezért itt is érvényes a minél gondosabban tekintsük át az összes kapcsolódó dokumentumot alapelv…</w:t>
      </w:r>
    </w:p>
    <w:p w:rsidR="00CA1856" w:rsidRDefault="00CA1856" w:rsidP="00C846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CA1856" w:rsidRPr="00682DD9" w:rsidRDefault="00CA1856" w:rsidP="00CA1856">
      <w:pPr>
        <w:pStyle w:val="Cmsor1"/>
        <w:numPr>
          <w:ilvl w:val="0"/>
          <w:numId w:val="0"/>
        </w:numPr>
        <w:rPr>
          <w:color w:val="5B9BD5" w:themeColor="accent1"/>
          <w:sz w:val="32"/>
        </w:rPr>
      </w:pPr>
      <w:r w:rsidRPr="00682DD9">
        <w:rPr>
          <w:color w:val="5B9BD5" w:themeColor="accent1"/>
          <w:sz w:val="32"/>
        </w:rPr>
        <w:t>OLVASOK-CSELEKSZEM-TAPASZTALOK- TANULOK</w:t>
      </w:r>
    </w:p>
    <w:p w:rsidR="00CA1856" w:rsidRDefault="00CA1856" w:rsidP="00CA1856">
      <w:pPr>
        <w:rPr>
          <w:i/>
        </w:rPr>
      </w:pPr>
    </w:p>
    <w:p w:rsidR="00CA1856" w:rsidRPr="009261BF" w:rsidRDefault="00CA1856" w:rsidP="00CA185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CA1856" w:rsidRDefault="00584E4D" w:rsidP="00CA1856">
      <w:pPr>
        <w:rPr>
          <w:i/>
        </w:rPr>
      </w:pPr>
      <w:r w:rsidRPr="00584E4D">
        <w:rPr>
          <w:i/>
        </w:rPr>
        <w:t>https://www.tankonyvtar.hu/hu/tartalom/tamop412b2/2013-0002_vezetes/tananyag/JEGYZET-22-3.4._A_projekt_eroforrasai__k.scorml</w:t>
      </w:r>
    </w:p>
    <w:p w:rsidR="00AA7D5B" w:rsidRDefault="00AA7D5B" w:rsidP="00CA1856">
      <w:pPr>
        <w:rPr>
          <w:i/>
        </w:rPr>
      </w:pPr>
      <w:r>
        <w:rPr>
          <w:i/>
        </w:rPr>
        <w:t>15 perces rendkívül színvonalas olvas</w:t>
      </w:r>
      <w:r w:rsidR="00A82249">
        <w:rPr>
          <w:i/>
        </w:rPr>
        <w:t>nivaló</w:t>
      </w:r>
      <w:r w:rsidR="00584E4D">
        <w:rPr>
          <w:i/>
        </w:rPr>
        <w:t xml:space="preserve"> projekt erőforrással és költségvetéssel </w:t>
      </w:r>
      <w:r>
        <w:rPr>
          <w:i/>
        </w:rPr>
        <w:t>kapcsolatban</w:t>
      </w:r>
      <w:r w:rsidR="00A82249">
        <w:rPr>
          <w:i/>
        </w:rPr>
        <w:t>.</w:t>
      </w:r>
      <w:bookmarkStart w:id="0" w:name="_GoBack"/>
      <w:bookmarkEnd w:id="0"/>
    </w:p>
    <w:p w:rsidR="00CA1856" w:rsidRPr="009261BF" w:rsidRDefault="00CA1856" w:rsidP="00CA185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CA1856" w:rsidRDefault="00CA1856" w:rsidP="00CA1856">
      <w:pPr>
        <w:rPr>
          <w:i/>
        </w:rPr>
      </w:pPr>
    </w:p>
    <w:p w:rsidR="00CA1856" w:rsidRDefault="00CA1856" w:rsidP="00CA1856">
      <w:pPr>
        <w:rPr>
          <w:i/>
        </w:rPr>
      </w:pPr>
      <w:r>
        <w:rPr>
          <w:i/>
        </w:rPr>
        <w:t>a, Mely</w:t>
      </w:r>
      <w:r w:rsidR="008F3C80">
        <w:rPr>
          <w:i/>
        </w:rPr>
        <w:t xml:space="preserve"> speciális feltételek nehezítik a költségvetés tervezését? </w:t>
      </w:r>
    </w:p>
    <w:p w:rsidR="00CA1856" w:rsidRDefault="00CA1856" w:rsidP="00CA1856">
      <w:pPr>
        <w:rPr>
          <w:i/>
        </w:rPr>
      </w:pPr>
      <w:r>
        <w:rPr>
          <w:i/>
        </w:rPr>
        <w:t>b, Mi</w:t>
      </w:r>
      <w:r w:rsidR="008F3C80">
        <w:rPr>
          <w:i/>
        </w:rPr>
        <w:t>re kell odafigyelni a bérjellegű javadalmazások esetében?</w:t>
      </w:r>
    </w:p>
    <w:p w:rsidR="001B03C6" w:rsidRDefault="001B03C6" w:rsidP="00CA1856">
      <w:pPr>
        <w:rPr>
          <w:i/>
        </w:rPr>
      </w:pPr>
      <w:r>
        <w:rPr>
          <w:i/>
        </w:rPr>
        <w:t xml:space="preserve">c, Mit jelent a </w:t>
      </w:r>
      <w:r w:rsidR="006B3DA9">
        <w:rPr>
          <w:i/>
        </w:rPr>
        <w:t>„</w:t>
      </w:r>
      <w:r>
        <w:rPr>
          <w:i/>
        </w:rPr>
        <w:t>három független ajánlat</w:t>
      </w:r>
      <w:r w:rsidR="006B3DA9">
        <w:rPr>
          <w:i/>
        </w:rPr>
        <w:t>”</w:t>
      </w:r>
      <w:r>
        <w:rPr>
          <w:i/>
        </w:rPr>
        <w:t xml:space="preserve"> módszere?</w:t>
      </w:r>
    </w:p>
    <w:p w:rsidR="00CA1856" w:rsidRDefault="00CA1856" w:rsidP="00CA1856">
      <w:pPr>
        <w:rPr>
          <w:i/>
        </w:rPr>
      </w:pPr>
    </w:p>
    <w:p w:rsidR="00CA1856" w:rsidRDefault="00CA1856" w:rsidP="00CA1856">
      <w:pPr>
        <w:ind w:firstLine="567"/>
        <w:rPr>
          <w:i/>
        </w:rPr>
      </w:pPr>
    </w:p>
    <w:p w:rsidR="00CA1856" w:rsidRPr="009261BF" w:rsidRDefault="00CA1856" w:rsidP="00CA1856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CA1856" w:rsidRDefault="00AA7D5B" w:rsidP="00CA1856">
      <w:pPr>
        <w:rPr>
          <w:i/>
        </w:rPr>
      </w:pPr>
      <w:r>
        <w:rPr>
          <w:i/>
        </w:rPr>
        <w:t>Definiáld a saját fejlesztési elképzelésed legfontosabb költségtételeit!</w:t>
      </w:r>
    </w:p>
    <w:p w:rsidR="00CA1856" w:rsidRDefault="00CA1856" w:rsidP="00CA1856">
      <w:pPr>
        <w:rPr>
          <w:i/>
        </w:rPr>
      </w:pPr>
    </w:p>
    <w:p w:rsidR="00CA1856" w:rsidRDefault="00CA1856" w:rsidP="00CA1856">
      <w:pPr>
        <w:spacing w:line="360" w:lineRule="auto"/>
        <w:rPr>
          <w:i/>
          <w:sz w:val="24"/>
        </w:rPr>
      </w:pPr>
    </w:p>
    <w:p w:rsidR="00CA1856" w:rsidRDefault="00CA1856" w:rsidP="00C846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CE710F" w:rsidRDefault="00CE710F" w:rsidP="00C846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CE710F" w:rsidRPr="00AE1032" w:rsidRDefault="00CE710F" w:rsidP="00C846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0A1AA3FE" wp14:editId="3B120EE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10F" w:rsidRPr="00AE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348B"/>
    <w:multiLevelType w:val="hybridMultilevel"/>
    <w:tmpl w:val="0BE472DE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8522AEB"/>
    <w:multiLevelType w:val="hybridMultilevel"/>
    <w:tmpl w:val="77D21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5D71E1"/>
    <w:multiLevelType w:val="hybridMultilevel"/>
    <w:tmpl w:val="C464E3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7403AD"/>
    <w:multiLevelType w:val="hybridMultilevel"/>
    <w:tmpl w:val="B5642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6D94"/>
    <w:multiLevelType w:val="hybridMultilevel"/>
    <w:tmpl w:val="1DC434B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2"/>
    <w:rsid w:val="00067DD7"/>
    <w:rsid w:val="000F65B6"/>
    <w:rsid w:val="00174274"/>
    <w:rsid w:val="001B03C6"/>
    <w:rsid w:val="00535A4D"/>
    <w:rsid w:val="005640AF"/>
    <w:rsid w:val="00584E4D"/>
    <w:rsid w:val="005A21AA"/>
    <w:rsid w:val="0061091C"/>
    <w:rsid w:val="006B3DA9"/>
    <w:rsid w:val="008F3C80"/>
    <w:rsid w:val="00994EA6"/>
    <w:rsid w:val="009A4C9F"/>
    <w:rsid w:val="00A41B82"/>
    <w:rsid w:val="00A82249"/>
    <w:rsid w:val="00AA7D5B"/>
    <w:rsid w:val="00AC64C3"/>
    <w:rsid w:val="00AE1032"/>
    <w:rsid w:val="00AF410A"/>
    <w:rsid w:val="00BC685C"/>
    <w:rsid w:val="00C017D7"/>
    <w:rsid w:val="00C84623"/>
    <w:rsid w:val="00CA1856"/>
    <w:rsid w:val="00CE710F"/>
    <w:rsid w:val="00D15B5E"/>
    <w:rsid w:val="00E634BD"/>
    <w:rsid w:val="00E64211"/>
    <w:rsid w:val="00E8232D"/>
    <w:rsid w:val="00F93B02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8C4E-7907-46EB-86A4-E873C20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032"/>
  </w:style>
  <w:style w:type="paragraph" w:styleId="Cmsor1">
    <w:name w:val="heading 1"/>
    <w:basedOn w:val="Norml"/>
    <w:next w:val="Norml"/>
    <w:link w:val="Cmsor1Char"/>
    <w:qFormat/>
    <w:rsid w:val="00CA1856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CA1856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CA1856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CA1856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CA1856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CA1856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CA185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CA185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CA185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03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A1856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CA1856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CA1856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CA1856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CA1856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CA1856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CA1856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1856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1856"/>
    <w:rPr>
      <w:rFonts w:ascii="Arial" w:eastAsia="Times New Roman" w:hAnsi="Arial" w:cs="Times New Roman"/>
      <w:b/>
      <w:i/>
      <w:sz w:val="18"/>
      <w:lang w:eastAsia="hu-HU"/>
    </w:rPr>
  </w:style>
  <w:style w:type="table" w:styleId="Rcsostblzat">
    <w:name w:val="Table Grid"/>
    <w:basedOn w:val="Normltblzat"/>
    <w:uiPriority w:val="39"/>
    <w:rsid w:val="0006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820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Dr. Imreh-Tóth</dc:creator>
  <cp:keywords/>
  <dc:description/>
  <cp:lastModifiedBy>Mónika Dr. Imreh-Tóth</cp:lastModifiedBy>
  <cp:revision>5</cp:revision>
  <dcterms:created xsi:type="dcterms:W3CDTF">2019-03-25T13:58:00Z</dcterms:created>
  <dcterms:modified xsi:type="dcterms:W3CDTF">2019-04-08T13:20:00Z</dcterms:modified>
</cp:coreProperties>
</file>