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0640B" w:rsidTr="00364FEE">
        <w:tc>
          <w:tcPr>
            <w:tcW w:w="3020" w:type="dxa"/>
            <w:shd w:val="clear" w:color="auto" w:fill="EAF1DD" w:themeFill="accent3" w:themeFillTint="33"/>
          </w:tcPr>
          <w:p w:rsidR="00C0640B" w:rsidRDefault="00C0640B" w:rsidP="00364FEE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 w:rsidRPr="00437A0A">
              <w:rPr>
                <w:b/>
                <w:noProof/>
                <w:sz w:val="40"/>
                <w:szCs w:val="40"/>
                <w:u w:val="single"/>
                <w:lang w:eastAsia="hu-HU"/>
              </w:rPr>
              <w:drawing>
                <wp:inline distT="0" distB="0" distL="0" distR="0" wp14:anchorId="7FB9FF9C" wp14:editId="1D8FEDD9">
                  <wp:extent cx="762000" cy="1133475"/>
                  <wp:effectExtent l="0" t="0" r="0" b="9525"/>
                  <wp:docPr id="5123" name="Picture 4" descr="http://www.eco.u-szeged.hu/site/upload/2015/03/imreh_szabolcs1_80x119.png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BE03540-C2B9-4390-AE22-55C8B439C0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4" descr="http://www.eco.u-szeged.hu/site/upload/2015/03/imreh_szabolcs1_80x119.pn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BE03540-C2B9-4390-AE22-55C8B439C0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0640B" w:rsidRPr="00837EA1" w:rsidRDefault="00C0640B" w:rsidP="00364FEE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Imreh Szabolcs</w:t>
            </w:r>
          </w:p>
        </w:tc>
        <w:tc>
          <w:tcPr>
            <w:tcW w:w="3021" w:type="dxa"/>
            <w:shd w:val="clear" w:color="auto" w:fill="EAF1DD" w:themeFill="accent3" w:themeFillTint="33"/>
          </w:tcPr>
          <w:p w:rsidR="00C0640B" w:rsidRDefault="00C0640B" w:rsidP="00364FEE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35A46025" wp14:editId="7E093BC3">
                  <wp:extent cx="819095" cy="819095"/>
                  <wp:effectExtent l="0" t="0" r="635" b="635"/>
                  <wp:docPr id="4" name="Kép 4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002" cy="85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40B" w:rsidRDefault="00D61433" w:rsidP="00364FEE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20</w:t>
            </w:r>
            <w:r w:rsidR="00C0640B">
              <w:rPr>
                <w:b/>
                <w:sz w:val="40"/>
                <w:szCs w:val="40"/>
                <w:u w:val="single"/>
              </w:rPr>
              <w:t>-2</w:t>
            </w:r>
            <w:r>
              <w:rPr>
                <w:b/>
                <w:sz w:val="40"/>
                <w:szCs w:val="40"/>
                <w:u w:val="single"/>
              </w:rPr>
              <w:t>5</w:t>
            </w:r>
            <w:r w:rsidR="00C0640B">
              <w:rPr>
                <w:b/>
                <w:sz w:val="40"/>
                <w:szCs w:val="40"/>
                <w:u w:val="single"/>
              </w:rPr>
              <w:t xml:space="preserve"> perc</w:t>
            </w:r>
          </w:p>
        </w:tc>
        <w:tc>
          <w:tcPr>
            <w:tcW w:w="3021" w:type="dxa"/>
            <w:shd w:val="clear" w:color="auto" w:fill="EAF1DD" w:themeFill="accent3" w:themeFillTint="33"/>
          </w:tcPr>
          <w:p w:rsidR="00C0640B" w:rsidRPr="007606EE" w:rsidRDefault="00C0640B" w:rsidP="00364FEE">
            <w:pPr>
              <w:tabs>
                <w:tab w:val="right" w:pos="8460"/>
              </w:tabs>
              <w:spacing w:before="360" w:after="12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606EE">
              <w:rPr>
                <w:rFonts w:ascii="Lucida Sans Unicode" w:hAnsi="Lucida Sans Unicode" w:cs="Lucida Sans Unicode"/>
                <w:sz w:val="18"/>
                <w:szCs w:val="18"/>
              </w:rPr>
              <w:t>M</w:t>
            </w:r>
            <w:r w:rsidRPr="007606EE">
              <w:t>ottó</w:t>
            </w:r>
            <w:r>
              <w:t>:</w:t>
            </w:r>
          </w:p>
          <w:p w:rsidR="0068431E" w:rsidRPr="0068431E" w:rsidRDefault="0068431E" w:rsidP="0068431E">
            <w:pPr>
              <w:pStyle w:val="NormlWeb"/>
              <w:rPr>
                <w:i/>
              </w:rPr>
            </w:pPr>
            <w:r w:rsidRPr="0068431E">
              <w:rPr>
                <w:i/>
              </w:rPr>
              <w:t>„Előbb csináld azt, ami szükséges, utána azt, ami lehetséges, és máris azt fogod csinálni, ami lehetetlen.”</w:t>
            </w:r>
          </w:p>
          <w:p w:rsidR="00C0640B" w:rsidRPr="00437A0A" w:rsidRDefault="0068431E" w:rsidP="0068431E">
            <w:pPr>
              <w:pStyle w:val="NormlWeb"/>
              <w:jc w:val="right"/>
            </w:pPr>
            <w:r>
              <w:t>(Assisi Szent Ferenc)</w:t>
            </w:r>
          </w:p>
        </w:tc>
      </w:tr>
    </w:tbl>
    <w:p w:rsidR="00C0640B" w:rsidRDefault="00C0640B" w:rsidP="00C0640B">
      <w:pPr>
        <w:rPr>
          <w:i/>
          <w:sz w:val="24"/>
          <w:szCs w:val="24"/>
        </w:rPr>
      </w:pPr>
    </w:p>
    <w:p w:rsidR="00C0640B" w:rsidRPr="003F7597" w:rsidRDefault="00C0640B" w:rsidP="00C0640B">
      <w:pPr>
        <w:rPr>
          <w:rFonts w:cstheme="minorHAnsi"/>
          <w:b/>
        </w:rPr>
      </w:pPr>
      <w:r w:rsidRPr="003F7597">
        <w:rPr>
          <w:rFonts w:cstheme="minorHAnsi"/>
          <w:b/>
        </w:rPr>
        <w:t>Uniós projektek menedzselése</w:t>
      </w:r>
    </w:p>
    <w:p w:rsidR="00C0640B" w:rsidRPr="003F7597" w:rsidRDefault="00C0640B" w:rsidP="00C0640B">
      <w:pPr>
        <w:rPr>
          <w:rFonts w:cstheme="minorHAnsi"/>
          <w:b/>
        </w:rPr>
      </w:pPr>
      <w:r>
        <w:rPr>
          <w:rFonts w:cstheme="minorHAnsi"/>
          <w:b/>
        </w:rPr>
        <w:t>7</w:t>
      </w:r>
      <w:r w:rsidRPr="003F7597">
        <w:rPr>
          <w:rFonts w:cstheme="minorHAnsi"/>
          <w:b/>
        </w:rPr>
        <w:t xml:space="preserve"> fejezet </w:t>
      </w:r>
      <w:r>
        <w:rPr>
          <w:rFonts w:cstheme="minorHAnsi"/>
          <w:b/>
        </w:rPr>
        <w:t xml:space="preserve">1 </w:t>
      </w:r>
      <w:r w:rsidRPr="003F7597">
        <w:rPr>
          <w:rFonts w:cstheme="minorHAnsi"/>
          <w:b/>
        </w:rPr>
        <w:t>olvasólecke</w:t>
      </w:r>
    </w:p>
    <w:p w:rsidR="004D366E" w:rsidRDefault="004D366E" w:rsidP="004E043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4547" w:rsidRPr="00C0640B" w:rsidRDefault="00C0640B" w:rsidP="00C0640B">
      <w:pPr>
        <w:spacing w:after="36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640B">
        <w:rPr>
          <w:rFonts w:ascii="Times New Roman" w:hAnsi="Times New Roman" w:cs="Times New Roman"/>
          <w:b/>
          <w:sz w:val="36"/>
          <w:szCs w:val="36"/>
        </w:rPr>
        <w:t>T</w:t>
      </w:r>
      <w:r w:rsidR="00834547" w:rsidRPr="00C0640B">
        <w:rPr>
          <w:rFonts w:ascii="Times New Roman" w:hAnsi="Times New Roman" w:cs="Times New Roman"/>
          <w:b/>
          <w:sz w:val="36"/>
          <w:szCs w:val="36"/>
        </w:rPr>
        <w:t>ámogatási döntés</w:t>
      </w:r>
      <w:r w:rsidR="004E0438" w:rsidRPr="00C0640B">
        <w:rPr>
          <w:rFonts w:ascii="Times New Roman" w:hAnsi="Times New Roman" w:cs="Times New Roman"/>
          <w:b/>
          <w:sz w:val="36"/>
          <w:szCs w:val="36"/>
        </w:rPr>
        <w:t>ig vezető út</w:t>
      </w:r>
    </w:p>
    <w:p w:rsidR="004E0438" w:rsidRPr="004E0438" w:rsidRDefault="004E0438" w:rsidP="004E0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38">
        <w:rPr>
          <w:rFonts w:ascii="Times New Roman" w:hAnsi="Times New Roman" w:cs="Times New Roman"/>
          <w:sz w:val="24"/>
          <w:szCs w:val="24"/>
        </w:rPr>
        <w:t xml:space="preserve">A leckében bemutatjuk a támogatások felhasználásában megjelenő néhány szereplőt/szervezetet, illetve ellátandó feladataikat. </w:t>
      </w:r>
      <w:r>
        <w:rPr>
          <w:rFonts w:ascii="Times New Roman" w:hAnsi="Times New Roman" w:cs="Times New Roman"/>
          <w:sz w:val="24"/>
          <w:szCs w:val="24"/>
        </w:rPr>
        <w:t>Ezt követően</w:t>
      </w:r>
      <w:r w:rsidRPr="00845EE4">
        <w:rPr>
          <w:rFonts w:ascii="Times New Roman" w:hAnsi="Times New Roman" w:cs="Times New Roman"/>
          <w:sz w:val="24"/>
          <w:szCs w:val="24"/>
        </w:rPr>
        <w:t xml:space="preserve"> a támogatási szerződés előkészítésével, a kapott kísérőlevél tartalmával és a </w:t>
      </w:r>
      <w:r>
        <w:rPr>
          <w:rFonts w:ascii="Times New Roman" w:hAnsi="Times New Roman" w:cs="Times New Roman"/>
          <w:sz w:val="24"/>
          <w:szCs w:val="24"/>
        </w:rPr>
        <w:t>rá adandó reakciókkal foglalkozunk.</w:t>
      </w:r>
    </w:p>
    <w:p w:rsidR="00896730" w:rsidRDefault="00834547" w:rsidP="00834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547">
        <w:rPr>
          <w:rFonts w:ascii="Times New Roman" w:hAnsi="Times New Roman" w:cs="Times New Roman"/>
          <w:sz w:val="24"/>
          <w:szCs w:val="24"/>
        </w:rPr>
        <w:t xml:space="preserve">Nyilván </w:t>
      </w:r>
      <w:r w:rsidRPr="00896730">
        <w:rPr>
          <w:rFonts w:ascii="Times New Roman" w:hAnsi="Times New Roman" w:cs="Times New Roman"/>
          <w:b/>
          <w:sz w:val="24"/>
          <w:szCs w:val="24"/>
        </w:rPr>
        <w:t>minden egyes projektben kulcsszereplő a Kedvezményezett</w:t>
      </w:r>
      <w:r w:rsidRPr="00834547">
        <w:rPr>
          <w:rFonts w:ascii="Times New Roman" w:hAnsi="Times New Roman" w:cs="Times New Roman"/>
          <w:i/>
          <w:sz w:val="24"/>
          <w:szCs w:val="24"/>
        </w:rPr>
        <w:t>,</w:t>
      </w:r>
      <w:r w:rsidRPr="00834547">
        <w:rPr>
          <w:rFonts w:ascii="Times New Roman" w:hAnsi="Times New Roman" w:cs="Times New Roman"/>
          <w:sz w:val="24"/>
          <w:szCs w:val="24"/>
        </w:rPr>
        <w:t xml:space="preserve"> aki egyszerűen megfogalmazva </w:t>
      </w:r>
      <w:r w:rsidRPr="00896730">
        <w:rPr>
          <w:rFonts w:ascii="Times New Roman" w:hAnsi="Times New Roman" w:cs="Times New Roman"/>
          <w:b/>
          <w:sz w:val="24"/>
          <w:szCs w:val="24"/>
        </w:rPr>
        <w:t>az a támogatásban részesült Pályázó, akivel a Támogató Támogatási Szerződést köt.</w:t>
      </w:r>
      <w:r w:rsidRPr="00834547">
        <w:rPr>
          <w:rFonts w:ascii="Times New Roman" w:hAnsi="Times New Roman" w:cs="Times New Roman"/>
          <w:sz w:val="24"/>
          <w:szCs w:val="24"/>
        </w:rPr>
        <w:t xml:space="preserve"> A fent említett uniós rendelet ennél számottevően konkrétabban és részletesebben fogalmaz:</w:t>
      </w:r>
    </w:p>
    <w:p w:rsidR="00834547" w:rsidRPr="00896730" w:rsidRDefault="00834547" w:rsidP="0089673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730">
        <w:rPr>
          <w:rFonts w:ascii="Times New Roman" w:hAnsi="Times New Roman" w:cs="Times New Roman"/>
          <w:i/>
          <w:sz w:val="24"/>
          <w:szCs w:val="24"/>
        </w:rPr>
        <w:t>„a Kedvezményezett a közszférához vagy a magánszférához tartozó gazdasági megvalósító, szervezet vagy cég, amely felelős a műveletek kezdeményezéséért vagy azok végrehajtásáért. A Szerződés 87. cikke szerinti támogatási rendszerek összefüggésében, a kedvezményezettek a köz- vagy a magánszférához tartozó vállalkozások, amelyek egyedi tervet hajtanak végre, és ehhez állami támogatásban részesülnek”.</w:t>
      </w:r>
      <w:r w:rsidRPr="00896730">
        <w:rPr>
          <w:rStyle w:val="Lbjegyzet-hivatkozs"/>
          <w:rFonts w:ascii="Times New Roman" w:hAnsi="Times New Roman" w:cs="Times New Roman"/>
          <w:i/>
          <w:sz w:val="24"/>
          <w:szCs w:val="24"/>
        </w:rPr>
        <w:footnoteReference w:id="1"/>
      </w:r>
    </w:p>
    <w:p w:rsidR="00834547" w:rsidRPr="00834547" w:rsidRDefault="00834547" w:rsidP="00834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30">
        <w:rPr>
          <w:rFonts w:ascii="Times New Roman" w:hAnsi="Times New Roman" w:cs="Times New Roman"/>
          <w:sz w:val="24"/>
          <w:szCs w:val="24"/>
        </w:rPr>
        <w:t xml:space="preserve">Minden egyes projekt esetén a Kedvezményezett szükségképp találkozik a lebonyolításért felelős szervezettel, amelyet </w:t>
      </w:r>
      <w:r w:rsidRPr="00896730">
        <w:rPr>
          <w:rFonts w:ascii="Times New Roman" w:hAnsi="Times New Roman" w:cs="Times New Roman"/>
          <w:b/>
          <w:sz w:val="24"/>
          <w:szCs w:val="24"/>
        </w:rPr>
        <w:t>Irányító Hatóság</w:t>
      </w:r>
      <w:r w:rsidRPr="00896730">
        <w:rPr>
          <w:rFonts w:ascii="Times New Roman" w:hAnsi="Times New Roman" w:cs="Times New Roman"/>
          <w:sz w:val="24"/>
          <w:szCs w:val="24"/>
        </w:rPr>
        <w:t>nak (IH) nevezünk.</w:t>
      </w:r>
      <w:r w:rsidRPr="00834547">
        <w:rPr>
          <w:rFonts w:ascii="Times New Roman" w:hAnsi="Times New Roman" w:cs="Times New Roman"/>
          <w:sz w:val="24"/>
          <w:szCs w:val="24"/>
        </w:rPr>
        <w:t xml:space="preserve"> Az IH általánosságban egy, </w:t>
      </w:r>
      <w:r w:rsidRPr="00896730">
        <w:rPr>
          <w:rFonts w:ascii="Times New Roman" w:hAnsi="Times New Roman" w:cs="Times New Roman"/>
          <w:b/>
          <w:sz w:val="24"/>
          <w:szCs w:val="24"/>
        </w:rPr>
        <w:t>meghatározott célokra adott támogatások lebonyolítására</w:t>
      </w:r>
      <w:r w:rsidRPr="00834547">
        <w:rPr>
          <w:rFonts w:ascii="Times New Roman" w:hAnsi="Times New Roman" w:cs="Times New Roman"/>
          <w:sz w:val="24"/>
          <w:szCs w:val="24"/>
        </w:rPr>
        <w:t xml:space="preserve">, (pl. az operatív program menedzsmentjére) </w:t>
      </w:r>
      <w:r w:rsidRPr="00896730">
        <w:rPr>
          <w:rFonts w:ascii="Times New Roman" w:hAnsi="Times New Roman" w:cs="Times New Roman"/>
          <w:b/>
          <w:sz w:val="24"/>
          <w:szCs w:val="24"/>
        </w:rPr>
        <w:t>a tagállam által kijelölt szervezet, amely felelős a támogatás hatékony és szabályszerű megvalósításáért.</w:t>
      </w:r>
      <w:r w:rsidRPr="00834547">
        <w:rPr>
          <w:rFonts w:ascii="Times New Roman" w:hAnsi="Times New Roman" w:cs="Times New Roman"/>
          <w:sz w:val="24"/>
          <w:szCs w:val="24"/>
        </w:rPr>
        <w:t xml:space="preserve"> A hazai gyakorlatban általában a szakosodott </w:t>
      </w:r>
      <w:r w:rsidRPr="00834547">
        <w:rPr>
          <w:rFonts w:ascii="Times New Roman" w:hAnsi="Times New Roman" w:cs="Times New Roman"/>
          <w:sz w:val="24"/>
          <w:szCs w:val="24"/>
        </w:rPr>
        <w:lastRenderedPageBreak/>
        <w:t>minisztériumon belül alakítanak ki a szükséges feladatokat ellátó egységeket. Például a 2004-2006-os periódusban a GVOP</w:t>
      </w:r>
      <w:r w:rsidRPr="00834547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Pr="00834547">
        <w:rPr>
          <w:rFonts w:ascii="Times New Roman" w:hAnsi="Times New Roman" w:cs="Times New Roman"/>
          <w:sz w:val="24"/>
          <w:szCs w:val="24"/>
        </w:rPr>
        <w:t xml:space="preserve"> Irányító Hatósága a Gazdasági és Közlekedési Minisztérium volt.</w:t>
      </w:r>
      <w:r w:rsidR="00B96144">
        <w:rPr>
          <w:rFonts w:ascii="Times New Roman" w:hAnsi="Times New Roman" w:cs="Times New Roman"/>
          <w:sz w:val="24"/>
          <w:szCs w:val="24"/>
        </w:rPr>
        <w:t xml:space="preserve"> </w:t>
      </w:r>
      <w:r w:rsidRPr="00834547">
        <w:rPr>
          <w:rFonts w:ascii="Times New Roman" w:hAnsi="Times New Roman" w:cs="Times New Roman"/>
          <w:sz w:val="24"/>
          <w:szCs w:val="24"/>
        </w:rPr>
        <w:t xml:space="preserve">Az általános gyakorlatban a kifizetések kezelése külön szervezet tevékenységeként jelenik meg, amelyet </w:t>
      </w:r>
      <w:r w:rsidRPr="00F5372D">
        <w:rPr>
          <w:rFonts w:ascii="Times New Roman" w:hAnsi="Times New Roman" w:cs="Times New Roman"/>
          <w:b/>
          <w:sz w:val="24"/>
          <w:szCs w:val="24"/>
        </w:rPr>
        <w:t>Kifizető Hatóságnak</w:t>
      </w:r>
      <w:r w:rsidRPr="00834547">
        <w:rPr>
          <w:rFonts w:ascii="Times New Roman" w:hAnsi="Times New Roman" w:cs="Times New Roman"/>
          <w:sz w:val="24"/>
          <w:szCs w:val="24"/>
        </w:rPr>
        <w:t xml:space="preserve"> (KH) nevezünk. </w:t>
      </w:r>
      <w:r w:rsidRPr="00F5372D">
        <w:rPr>
          <w:rFonts w:ascii="Times New Roman" w:hAnsi="Times New Roman" w:cs="Times New Roman"/>
          <w:b/>
          <w:sz w:val="24"/>
          <w:szCs w:val="24"/>
        </w:rPr>
        <w:t xml:space="preserve">A KH a tagállam által a kifizetési kérelmek összeállítására és benyújtására, valamint az Európai Bizottságtól érkező kifizetések fogadására kijelölt szervezet. </w:t>
      </w:r>
      <w:r w:rsidRPr="00834547">
        <w:rPr>
          <w:rFonts w:ascii="Times New Roman" w:hAnsi="Times New Roman" w:cs="Times New Roman"/>
          <w:sz w:val="24"/>
          <w:szCs w:val="24"/>
        </w:rPr>
        <w:t>A Kifizető Hatóság Magyarországon – a strukturális alapok és a Kohéziós Alap vonatkozásában – a Pénzügyminisztérium.</w:t>
      </w:r>
    </w:p>
    <w:p w:rsidR="00F5372D" w:rsidRDefault="00834547" w:rsidP="00834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547">
        <w:rPr>
          <w:rFonts w:ascii="Times New Roman" w:hAnsi="Times New Roman" w:cs="Times New Roman"/>
          <w:sz w:val="24"/>
          <w:szCs w:val="24"/>
        </w:rPr>
        <w:t xml:space="preserve">A Kedvezményezett a projekt megvalósítása során napi szinten leginkább a </w:t>
      </w:r>
      <w:r w:rsidRPr="00F5372D">
        <w:rPr>
          <w:rFonts w:ascii="Times New Roman" w:hAnsi="Times New Roman" w:cs="Times New Roman"/>
          <w:b/>
          <w:sz w:val="24"/>
          <w:szCs w:val="24"/>
        </w:rPr>
        <w:t xml:space="preserve">Közreműködő Szervezettel </w:t>
      </w:r>
      <w:r w:rsidRPr="00834547">
        <w:rPr>
          <w:rFonts w:ascii="Times New Roman" w:hAnsi="Times New Roman" w:cs="Times New Roman"/>
          <w:sz w:val="24"/>
          <w:szCs w:val="24"/>
        </w:rPr>
        <w:t xml:space="preserve">(KSZ) találkozik. Általánosságban </w:t>
      </w:r>
      <w:r w:rsidRPr="00F5372D">
        <w:rPr>
          <w:rFonts w:ascii="Times New Roman" w:hAnsi="Times New Roman" w:cs="Times New Roman"/>
          <w:b/>
          <w:sz w:val="24"/>
          <w:szCs w:val="24"/>
        </w:rPr>
        <w:t>a KSZ-ek az Irányító Hatóság irányításával tevékenykedő szervezetek, amelyek a projekteket végrehajtó szervezetekkel kapcsolatban látják el feladataikat</w:t>
      </w:r>
      <w:r w:rsidRPr="00834547">
        <w:rPr>
          <w:rFonts w:ascii="Times New Roman" w:hAnsi="Times New Roman" w:cs="Times New Roman"/>
          <w:sz w:val="24"/>
          <w:szCs w:val="24"/>
        </w:rPr>
        <w:t xml:space="preserve">. Az uniós terminológia ennél pontosabban fogalmaz: </w:t>
      </w:r>
    </w:p>
    <w:p w:rsidR="00F5372D" w:rsidRPr="00F5372D" w:rsidRDefault="00834547" w:rsidP="00F5372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372D">
        <w:rPr>
          <w:rFonts w:ascii="Times New Roman" w:hAnsi="Times New Roman" w:cs="Times New Roman"/>
          <w:i/>
          <w:sz w:val="24"/>
          <w:szCs w:val="24"/>
        </w:rPr>
        <w:t>„a Közreműködő Szervezet bármely közjogi vagy magánjogi intézmény, amely egy Irányító Hatóság illetékessége alatt jár el, vagy ilyen hatóság nevében hajt végre feladatokat a műveleteket végrehajtó Kedvezményezettek vonatkozásában”.</w:t>
      </w:r>
    </w:p>
    <w:p w:rsidR="00834547" w:rsidRPr="00834547" w:rsidRDefault="00834547" w:rsidP="00834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547">
        <w:rPr>
          <w:rFonts w:ascii="Times New Roman" w:hAnsi="Times New Roman" w:cs="Times New Roman"/>
          <w:sz w:val="24"/>
          <w:szCs w:val="24"/>
        </w:rPr>
        <w:t xml:space="preserve">A bonyolult meghatározás mögött sokkal egyszerűbb tevékenységek rejlenek: </w:t>
      </w:r>
      <w:r w:rsidRPr="00F5372D">
        <w:rPr>
          <w:rFonts w:ascii="Times New Roman" w:hAnsi="Times New Roman" w:cs="Times New Roman"/>
          <w:b/>
          <w:sz w:val="24"/>
          <w:szCs w:val="24"/>
        </w:rPr>
        <w:t xml:space="preserve">a KSZ látja el a projekt megvalósításával kapcsolatos operatív feladatokat. </w:t>
      </w:r>
      <w:r w:rsidRPr="00834547">
        <w:rPr>
          <w:rFonts w:ascii="Times New Roman" w:hAnsi="Times New Roman" w:cs="Times New Roman"/>
          <w:sz w:val="24"/>
          <w:szCs w:val="24"/>
        </w:rPr>
        <w:t xml:space="preserve">Rendkívül érdekes – és véleményünk szerint igen helytelen gyakorlat – mely szerint </w:t>
      </w:r>
      <w:r w:rsidRPr="00F5372D">
        <w:rPr>
          <w:rFonts w:ascii="Times New Roman" w:hAnsi="Times New Roman" w:cs="Times New Roman"/>
          <w:b/>
          <w:sz w:val="24"/>
          <w:szCs w:val="24"/>
        </w:rPr>
        <w:t xml:space="preserve">bizonyos esetekben egy projekt esetén két különféle KSZ is megjelenik. </w:t>
      </w:r>
      <w:r w:rsidRPr="00834547">
        <w:rPr>
          <w:rFonts w:ascii="Times New Roman" w:hAnsi="Times New Roman" w:cs="Times New Roman"/>
          <w:sz w:val="24"/>
          <w:szCs w:val="24"/>
        </w:rPr>
        <w:t xml:space="preserve">Az egyik </w:t>
      </w:r>
      <w:r w:rsidRPr="00F5372D">
        <w:rPr>
          <w:rFonts w:ascii="Times New Roman" w:hAnsi="Times New Roman" w:cs="Times New Roman"/>
          <w:b/>
          <w:sz w:val="24"/>
          <w:szCs w:val="24"/>
          <w:u w:val="single"/>
        </w:rPr>
        <w:t>az ún. „befogadó” KSZ</w:t>
      </w:r>
      <w:r w:rsidRPr="00834547">
        <w:rPr>
          <w:rFonts w:ascii="Times New Roman" w:hAnsi="Times New Roman" w:cs="Times New Roman"/>
          <w:sz w:val="24"/>
          <w:szCs w:val="24"/>
        </w:rPr>
        <w:t xml:space="preserve">, amely </w:t>
      </w:r>
      <w:r w:rsidRPr="00F5372D">
        <w:rPr>
          <w:rFonts w:ascii="Times New Roman" w:hAnsi="Times New Roman" w:cs="Times New Roman"/>
          <w:b/>
          <w:sz w:val="24"/>
          <w:szCs w:val="24"/>
        </w:rPr>
        <w:t>feladata a pályázat átvétele, formai és tartalmi ellenőrzése, illetve esetleg a szerződés valamilyen szinten történő előkészítése.</w:t>
      </w:r>
      <w:r w:rsidRPr="00834547">
        <w:rPr>
          <w:rFonts w:ascii="Times New Roman" w:hAnsi="Times New Roman" w:cs="Times New Roman"/>
          <w:sz w:val="24"/>
          <w:szCs w:val="24"/>
        </w:rPr>
        <w:t xml:space="preserve"> Mikor ennek a </w:t>
      </w:r>
      <w:proofErr w:type="spellStart"/>
      <w:r w:rsidRPr="00834547">
        <w:rPr>
          <w:rFonts w:ascii="Times New Roman" w:hAnsi="Times New Roman" w:cs="Times New Roman"/>
          <w:sz w:val="24"/>
          <w:szCs w:val="24"/>
        </w:rPr>
        <w:t>KSZ-nek</w:t>
      </w:r>
      <w:proofErr w:type="spellEnd"/>
      <w:r w:rsidRPr="00834547">
        <w:rPr>
          <w:rFonts w:ascii="Times New Roman" w:hAnsi="Times New Roman" w:cs="Times New Roman"/>
          <w:sz w:val="24"/>
          <w:szCs w:val="24"/>
        </w:rPr>
        <w:t xml:space="preserve"> véget ér a feladata, akkor jelenik meg a második </w:t>
      </w:r>
      <w:r w:rsidRPr="00F5372D">
        <w:rPr>
          <w:rFonts w:ascii="Times New Roman" w:hAnsi="Times New Roman" w:cs="Times New Roman"/>
          <w:b/>
          <w:sz w:val="24"/>
          <w:szCs w:val="24"/>
          <w:u w:val="single"/>
        </w:rPr>
        <w:t>ún. „lebonyolító” KSZ</w:t>
      </w:r>
      <w:r w:rsidRPr="00834547">
        <w:rPr>
          <w:rFonts w:ascii="Times New Roman" w:hAnsi="Times New Roman" w:cs="Times New Roman"/>
          <w:sz w:val="24"/>
          <w:szCs w:val="24"/>
        </w:rPr>
        <w:t xml:space="preserve">, amely </w:t>
      </w:r>
      <w:r w:rsidRPr="00F5372D">
        <w:rPr>
          <w:rFonts w:ascii="Times New Roman" w:hAnsi="Times New Roman" w:cs="Times New Roman"/>
          <w:b/>
          <w:sz w:val="24"/>
          <w:szCs w:val="24"/>
        </w:rPr>
        <w:t xml:space="preserve">feladatköre a szerződés előkészítéstől a projekt </w:t>
      </w:r>
      <w:proofErr w:type="spellStart"/>
      <w:r w:rsidRPr="00F5372D">
        <w:rPr>
          <w:rFonts w:ascii="Times New Roman" w:hAnsi="Times New Roman" w:cs="Times New Roman"/>
          <w:b/>
          <w:sz w:val="24"/>
          <w:szCs w:val="24"/>
        </w:rPr>
        <w:t>nyomonkövetéséig</w:t>
      </w:r>
      <w:proofErr w:type="spellEnd"/>
      <w:r w:rsidRPr="00F5372D">
        <w:rPr>
          <w:rFonts w:ascii="Times New Roman" w:hAnsi="Times New Roman" w:cs="Times New Roman"/>
          <w:b/>
          <w:sz w:val="24"/>
          <w:szCs w:val="24"/>
        </w:rPr>
        <w:t xml:space="preserve"> tarthat</w:t>
      </w:r>
      <w:r w:rsidRPr="00834547">
        <w:rPr>
          <w:rFonts w:ascii="Times New Roman" w:hAnsi="Times New Roman" w:cs="Times New Roman"/>
          <w:sz w:val="24"/>
          <w:szCs w:val="24"/>
        </w:rPr>
        <w:t>. Elég világosan érzékelhető, hogy a feladatok egy része teljesen feleslegesen duplikálódik, ráadásul még érdemi hozadéka sincs a párhuzamos munkavégzésnek.</w:t>
      </w:r>
      <w:r w:rsidR="00B96144">
        <w:rPr>
          <w:rFonts w:ascii="Times New Roman" w:hAnsi="Times New Roman" w:cs="Times New Roman"/>
          <w:sz w:val="24"/>
          <w:szCs w:val="24"/>
        </w:rPr>
        <w:t xml:space="preserve"> A jelenlegi hazai gyakorlatban a megfelelő minisztériumi szervek látják el a közreműködői szervezeti feladatokat.</w:t>
      </w:r>
    </w:p>
    <w:p w:rsidR="00834547" w:rsidRPr="00834547" w:rsidRDefault="00834547" w:rsidP="00834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547">
        <w:rPr>
          <w:rFonts w:ascii="Times New Roman" w:hAnsi="Times New Roman" w:cs="Times New Roman"/>
          <w:sz w:val="24"/>
          <w:szCs w:val="24"/>
        </w:rPr>
        <w:t xml:space="preserve">A részfejezetben röviden áttekintettük a projektek megvalósításával kapcsolatos legfontosabb tevékenységeket és szereplőket. Természetesen a napi gyakorlat ennél számottevően összetettebb és bonyolultabb megoldásokat is eredményezhet, azonban úgy véljük, hogy ez a rövid áttekintés is segíthet eligazodni a tevékenységek és szervezetek tengerében, amely szintén hozzájárulhat az eredményesebb pályázási tevékenységhez. Itt is szeretnénk </w:t>
      </w:r>
      <w:r w:rsidRPr="00834547">
        <w:rPr>
          <w:rFonts w:ascii="Times New Roman" w:hAnsi="Times New Roman" w:cs="Times New Roman"/>
          <w:sz w:val="24"/>
          <w:szCs w:val="24"/>
        </w:rPr>
        <w:lastRenderedPageBreak/>
        <w:t>megemlíteni, hogy az említett szervezetek egyik feladata – elvileg – a segítségnyújtás, így keressük bátran kérdéseinkkel őket…</w:t>
      </w:r>
    </w:p>
    <w:p w:rsidR="00834547" w:rsidRPr="00834547" w:rsidRDefault="00834547" w:rsidP="0083454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34547">
        <w:rPr>
          <w:rFonts w:ascii="Times New Roman" w:hAnsi="Times New Roman" w:cs="Times New Roman"/>
          <w:sz w:val="24"/>
        </w:rPr>
        <w:t>A rendkívül részletes szabályozás és a közösségi források védelmének szándéka már a szerződéskötés során is világosan megmutatkozik. Az alábbiakban a szerződéskötésig vezető – néha rendkívül nehézkes – utat vizsgáljuk.</w:t>
      </w:r>
    </w:p>
    <w:p w:rsidR="00834547" w:rsidRPr="00834547" w:rsidRDefault="00C10C97" w:rsidP="0083454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hu-HU"/>
        </w:rPr>
        <w:drawing>
          <wp:anchor distT="0" distB="0" distL="114300" distR="114300" simplePos="0" relativeHeight="251665408" behindDoc="0" locked="0" layoutInCell="1" allowOverlap="1" wp14:anchorId="002C0E67" wp14:editId="35313F7D">
            <wp:simplePos x="0" y="0"/>
            <wp:positionH relativeFrom="margin">
              <wp:posOffset>3558540</wp:posOffset>
            </wp:positionH>
            <wp:positionV relativeFrom="margin">
              <wp:posOffset>2662276</wp:posOffset>
            </wp:positionV>
            <wp:extent cx="2249170" cy="1498600"/>
            <wp:effectExtent l="0" t="0" r="0" b="6350"/>
            <wp:wrapSquare wrapText="bothSides"/>
            <wp:docPr id="2" name="Kép 2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547" w:rsidRPr="00834547">
        <w:rPr>
          <w:rFonts w:ascii="Times New Roman" w:hAnsi="Times New Roman" w:cs="Times New Roman"/>
          <w:sz w:val="24"/>
        </w:rPr>
        <w:t>Nem lehet elégszer hangsúlyozni a támogatási szerződés fontosságát. Alapjaiban véve ez a dokumentum képezi a megvalósítás figyelemmel kísérésének, ellenőrzésének és finanszírozásának alapját. Nem véletlenül érdemes fokozott figyelmet szentelni a támogatási szerződés előkészítésére is.</w:t>
      </w:r>
    </w:p>
    <w:p w:rsidR="00834547" w:rsidRPr="00D61433" w:rsidRDefault="00834547" w:rsidP="0083454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34547">
        <w:rPr>
          <w:rFonts w:ascii="Times New Roman" w:hAnsi="Times New Roman" w:cs="Times New Roman"/>
          <w:sz w:val="24"/>
        </w:rPr>
        <w:t xml:space="preserve">Formai szempontból viszonylag egyszerűnek tűnhet az eljárás. </w:t>
      </w:r>
      <w:r w:rsidRPr="00D61433">
        <w:rPr>
          <w:rFonts w:ascii="Times New Roman" w:hAnsi="Times New Roman" w:cs="Times New Roman"/>
          <w:b/>
          <w:sz w:val="24"/>
        </w:rPr>
        <w:t xml:space="preserve">A támogatási szerződés aláírásához az alábbi lépések </w:t>
      </w:r>
      <w:r w:rsidR="00D61433">
        <w:rPr>
          <w:rFonts w:ascii="Times New Roman" w:hAnsi="Times New Roman" w:cs="Times New Roman"/>
          <w:b/>
          <w:sz w:val="24"/>
        </w:rPr>
        <w:t>vezetnek</w:t>
      </w:r>
      <w:r w:rsidRPr="00D61433">
        <w:rPr>
          <w:rFonts w:ascii="Times New Roman" w:hAnsi="Times New Roman" w:cs="Times New Roman"/>
          <w:b/>
          <w:sz w:val="24"/>
        </w:rPr>
        <w:t>:</w:t>
      </w:r>
      <w:r w:rsidR="00C10C97" w:rsidRPr="00C10C97">
        <w:rPr>
          <w:noProof/>
        </w:rPr>
        <w:t xml:space="preserve"> </w:t>
      </w:r>
    </w:p>
    <w:p w:rsidR="00834547" w:rsidRPr="00834547" w:rsidRDefault="00834547" w:rsidP="00834547">
      <w:pPr>
        <w:pStyle w:val="Stlusszabi"/>
        <w:numPr>
          <w:ilvl w:val="0"/>
          <w:numId w:val="3"/>
        </w:numPr>
        <w:ind w:left="567" w:hanging="283"/>
      </w:pPr>
      <w:r w:rsidRPr="00834547">
        <w:t>a pályáztató szervezet elkészíti a kísérőlevelet és a támogatási szerződést</w:t>
      </w:r>
      <w:r>
        <w:t>/támogatói okiratot</w:t>
      </w:r>
      <w:r w:rsidRPr="00834547">
        <w:t>, és ezeket továbbítja a kedvezményezetthez,</w:t>
      </w:r>
    </w:p>
    <w:p w:rsidR="00834547" w:rsidRPr="00834547" w:rsidRDefault="00834547" w:rsidP="00834547">
      <w:pPr>
        <w:pStyle w:val="Stlusszabi"/>
        <w:numPr>
          <w:ilvl w:val="0"/>
          <w:numId w:val="3"/>
        </w:numPr>
        <w:ind w:left="567" w:hanging="283"/>
      </w:pPr>
      <w:r w:rsidRPr="00834547">
        <w:t>a kedvezményezett aláírja a támogatási szerződést és a kísérőlevélben jelzett dokumentumokkal együtt visszajuttatja azokat a pályáztató szervezethez,</w:t>
      </w:r>
    </w:p>
    <w:p w:rsidR="00834547" w:rsidRPr="00D61433" w:rsidRDefault="00834547" w:rsidP="00834547">
      <w:pPr>
        <w:pStyle w:val="Stlusszabi"/>
        <w:numPr>
          <w:ilvl w:val="0"/>
          <w:numId w:val="3"/>
        </w:numPr>
        <w:ind w:left="567" w:hanging="283"/>
      </w:pPr>
      <w:r w:rsidRPr="00834547">
        <w:t>a pályáztató szervezet az informatikai rendszerben rögzíti a támogatási szerződés aláírásának időpontját.</w:t>
      </w:r>
    </w:p>
    <w:p w:rsidR="00834547" w:rsidRPr="00834547" w:rsidRDefault="00834547" w:rsidP="00834547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61433">
        <w:rPr>
          <w:rFonts w:ascii="Times New Roman" w:hAnsi="Times New Roman" w:cs="Times New Roman"/>
          <w:b/>
          <w:sz w:val="24"/>
        </w:rPr>
        <w:t>Általában egy hivatalos levelet (ún. kísérőlevél) kapunk, amelyben tájékoztatnak arról, hogy támogatásra érdemesnek minősítették az elképzelésünket,</w:t>
      </w:r>
      <w:r w:rsidRPr="00834547">
        <w:rPr>
          <w:rFonts w:ascii="Times New Roman" w:hAnsi="Times New Roman" w:cs="Times New Roman"/>
          <w:sz w:val="24"/>
        </w:rPr>
        <w:t xml:space="preserve"> illetve közlik, hogy a szerződéskötésünk folyamatban van. Ugyanez a levél általában azt is tartalmazza, mit kell még megtennünk, annak érdekében, hogy valóban aláírásra is kerüljön a támogatási szerződés. Jelen esetben is felmerülhetnek formai és tartalmi problémák egyaránt. Bármelyik esetről is beszélünk alapjaiban véve egy ún. párhuzamos szerződés előkészítés zajlik, mert már folyamatban van a szerződésünk előkészítése, miközben még újabb anyagokat, illetve magyarázatokat kérnek tőlünk.</w:t>
      </w:r>
    </w:p>
    <w:p w:rsidR="00834547" w:rsidRPr="00834547" w:rsidRDefault="00834547" w:rsidP="00834547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34547">
        <w:rPr>
          <w:rFonts w:ascii="Times New Roman" w:hAnsi="Times New Roman" w:cs="Times New Roman"/>
          <w:sz w:val="24"/>
        </w:rPr>
        <w:t xml:space="preserve">Természetét tekintve </w:t>
      </w:r>
      <w:r w:rsidRPr="00D61433">
        <w:rPr>
          <w:rFonts w:ascii="Times New Roman" w:hAnsi="Times New Roman" w:cs="Times New Roman"/>
          <w:b/>
          <w:sz w:val="24"/>
        </w:rPr>
        <w:t>két eltérő probléma jelenhet meg a szerződéskötés előtt:</w:t>
      </w:r>
    </w:p>
    <w:p w:rsidR="00834547" w:rsidRPr="00834547" w:rsidRDefault="00834547" w:rsidP="00834547">
      <w:pPr>
        <w:pStyle w:val="Stlusszabi"/>
        <w:numPr>
          <w:ilvl w:val="0"/>
          <w:numId w:val="3"/>
        </w:numPr>
        <w:ind w:left="567" w:hanging="283"/>
      </w:pPr>
      <w:r w:rsidRPr="00834547">
        <w:t>az egyik kérdéskör a még hiányzó anyagok kérdésköre,</w:t>
      </w:r>
    </w:p>
    <w:p w:rsidR="00834547" w:rsidRPr="00834547" w:rsidRDefault="00834547" w:rsidP="00D61433">
      <w:pPr>
        <w:pStyle w:val="Stlusszabi"/>
        <w:numPr>
          <w:ilvl w:val="0"/>
          <w:numId w:val="3"/>
        </w:numPr>
        <w:ind w:left="567" w:hanging="283"/>
      </w:pPr>
      <w:r w:rsidRPr="00834547">
        <w:t>a másik pedig egyes tevékenységek szükségességének/árának megkérdőjelezése.</w:t>
      </w:r>
    </w:p>
    <w:p w:rsidR="00834547" w:rsidRPr="00834547" w:rsidRDefault="00834547" w:rsidP="00834547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34547">
        <w:rPr>
          <w:rFonts w:ascii="Times New Roman" w:hAnsi="Times New Roman" w:cs="Times New Roman"/>
          <w:sz w:val="24"/>
        </w:rPr>
        <w:lastRenderedPageBreak/>
        <w:t>A kísérőlevél tartalmazza mindazon dokumentumok felsorolását, amelyeknek a kedvezményezett által a pályáztató szervezethez történő benyújtása a támogatási szerződés aláírásának előfeltétele. Ezek közül emelnénk ki néhány jellemző elemet a teljesség igénye nélkül:</w:t>
      </w:r>
    </w:p>
    <w:p w:rsidR="00834547" w:rsidRPr="00834547" w:rsidRDefault="00834547" w:rsidP="00834547">
      <w:pPr>
        <w:pStyle w:val="Stlusszabi"/>
        <w:numPr>
          <w:ilvl w:val="0"/>
          <w:numId w:val="3"/>
        </w:numPr>
        <w:ind w:left="567" w:hanging="283"/>
      </w:pPr>
      <w:r w:rsidRPr="00834547">
        <w:t>a jogi státusz igazolása, ha nem csatolták a pályázathoz,</w:t>
      </w:r>
    </w:p>
    <w:p w:rsidR="00834547" w:rsidRPr="00834547" w:rsidRDefault="00834547" w:rsidP="00834547">
      <w:pPr>
        <w:pStyle w:val="Stlusszabi"/>
        <w:numPr>
          <w:ilvl w:val="0"/>
          <w:numId w:val="3"/>
        </w:numPr>
        <w:ind w:left="567" w:hanging="283"/>
      </w:pPr>
      <w:r w:rsidRPr="00834547">
        <w:t>a források rendelkezésre állásának igazolása, ha nem csatolták a pályázathoz,</w:t>
      </w:r>
    </w:p>
    <w:p w:rsidR="00834547" w:rsidRPr="00834547" w:rsidRDefault="00834547" w:rsidP="00834547">
      <w:pPr>
        <w:pStyle w:val="Stlusszabi"/>
        <w:numPr>
          <w:ilvl w:val="0"/>
          <w:numId w:val="3"/>
        </w:numPr>
        <w:ind w:left="567" w:hanging="283"/>
      </w:pPr>
      <w:r w:rsidRPr="00834547">
        <w:t>az adóhatóságok igazolása arról, hogy a kedvezményezettnek nincs lejárt köztartozása. (Kisebb összegű támogatás esetén a kedvezményezett nyilatkozata helyettesítheti az igazolást.)</w:t>
      </w:r>
    </w:p>
    <w:p w:rsidR="00834547" w:rsidRPr="00834547" w:rsidRDefault="00834547" w:rsidP="00834547">
      <w:pPr>
        <w:pStyle w:val="Stlusszabi"/>
        <w:numPr>
          <w:ilvl w:val="0"/>
          <w:numId w:val="3"/>
        </w:numPr>
        <w:ind w:left="567" w:hanging="283"/>
      </w:pPr>
      <w:r w:rsidRPr="00834547">
        <w:t xml:space="preserve">a környezetvédelmi, természetvédelmi és vízügyi hatóságok igazolása arról, hogy a kedvezményezettnek nincsenek el nem végzett feladatai. </w:t>
      </w:r>
    </w:p>
    <w:p w:rsidR="00834547" w:rsidRPr="00834547" w:rsidRDefault="00834547" w:rsidP="00834547">
      <w:pPr>
        <w:pStyle w:val="Stlusszabi"/>
        <w:numPr>
          <w:ilvl w:val="0"/>
          <w:numId w:val="3"/>
        </w:numPr>
        <w:ind w:left="567" w:hanging="283"/>
      </w:pPr>
      <w:r w:rsidRPr="00834547">
        <w:t>a kedvezményezett összes számlájára vonatkozó azonnal beszedési meghatalmazás;</w:t>
      </w:r>
    </w:p>
    <w:p w:rsidR="00834547" w:rsidRPr="00D61433" w:rsidRDefault="00834547" w:rsidP="00977C7F">
      <w:pPr>
        <w:pStyle w:val="Stlusszabi"/>
        <w:numPr>
          <w:ilvl w:val="0"/>
          <w:numId w:val="3"/>
        </w:numPr>
        <w:spacing w:after="160"/>
        <w:ind w:left="567" w:hanging="283"/>
      </w:pPr>
      <w:r w:rsidRPr="00834547">
        <w:t>biztosíték rendelkezésre állásának igazolása (pl. jelzálogszerződés és igazolás a jelzálog ingatlan-nyilvántartó vagy a jegyzői kamara általi bejegyzéséről; bankgarancia, biztosítói garancia), ahol - a központi költségvetési társfinanszírozást adó előirányzat felhasználását szabályozó - jogszabály biztosítékadást ír elő.</w:t>
      </w:r>
    </w:p>
    <w:p w:rsidR="00834547" w:rsidRPr="00834547" w:rsidRDefault="00834547" w:rsidP="00977C7F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34547">
        <w:rPr>
          <w:rFonts w:ascii="Times New Roman" w:hAnsi="Times New Roman" w:cs="Times New Roman"/>
          <w:sz w:val="24"/>
        </w:rPr>
        <w:t xml:space="preserve">Rendkívül fontos tudnunk, hogy </w:t>
      </w:r>
      <w:r w:rsidRPr="00B21368">
        <w:rPr>
          <w:rFonts w:ascii="Times New Roman" w:hAnsi="Times New Roman" w:cs="Times New Roman"/>
          <w:b/>
          <w:sz w:val="24"/>
        </w:rPr>
        <w:t>a kísérőlevél meghatározza az előfeltételek teljesítésének – vagyis a szükséges dokumentumok és a kedvezményezett által aláírt szerződések benyújtásának – határidejét</w:t>
      </w:r>
      <w:r w:rsidRPr="00834547">
        <w:rPr>
          <w:rFonts w:ascii="Times New Roman" w:hAnsi="Times New Roman" w:cs="Times New Roman"/>
          <w:sz w:val="24"/>
        </w:rPr>
        <w:t xml:space="preserve"> is, továbbá tájékoztatja a kedvezményezettet arról, hogy az előfeltételek határidőre történő teljesítésének elmulasztása esetén a támogatás odaítélésére vonatkozó döntés érvényét veszti. Ezért érdemes már előre végiggondolni, hogy a várhatóan bekérendő anyagokhoz milyen módon és mennyi idő alatt(!) tudunk hozzájutni.</w:t>
      </w:r>
    </w:p>
    <w:p w:rsidR="00834547" w:rsidRPr="00834547" w:rsidRDefault="00C10C97" w:rsidP="00834547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hu-H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-15113</wp:posOffset>
            </wp:positionH>
            <wp:positionV relativeFrom="margin">
              <wp:posOffset>6758990</wp:posOffset>
            </wp:positionV>
            <wp:extent cx="2571115" cy="1132205"/>
            <wp:effectExtent l="0" t="0" r="635" b="0"/>
            <wp:wrapSquare wrapText="bothSides"/>
            <wp:docPr id="3" name="Kép 3" descr="Képtalálat a következőre: „budge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budget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547" w:rsidRPr="00834547">
        <w:rPr>
          <w:rFonts w:ascii="Times New Roman" w:hAnsi="Times New Roman" w:cs="Times New Roman"/>
          <w:sz w:val="24"/>
        </w:rPr>
        <w:t xml:space="preserve">A másik legjellemzőbb pont a </w:t>
      </w:r>
      <w:r w:rsidR="00834547" w:rsidRPr="00B21368">
        <w:rPr>
          <w:rFonts w:ascii="Times New Roman" w:hAnsi="Times New Roman" w:cs="Times New Roman"/>
          <w:b/>
          <w:sz w:val="24"/>
        </w:rPr>
        <w:t>költségvetéssel</w:t>
      </w:r>
      <w:r w:rsidR="00834547" w:rsidRPr="00B21368">
        <w:rPr>
          <w:rFonts w:ascii="Times New Roman" w:hAnsi="Times New Roman" w:cs="Times New Roman"/>
          <w:sz w:val="24"/>
        </w:rPr>
        <w:t xml:space="preserve"> kapcsolatos kérdéskör szokott</w:t>
      </w:r>
      <w:r w:rsidR="00834547" w:rsidRPr="00834547">
        <w:rPr>
          <w:rFonts w:ascii="Times New Roman" w:hAnsi="Times New Roman" w:cs="Times New Roman"/>
          <w:sz w:val="24"/>
        </w:rPr>
        <w:t xml:space="preserve"> lenni. Ekkor több különféle probléma is fel szokott merülni, amelyeket ráadásul az eltérő pályázatok gyakran eltérő módon is kezelnek. (De azért szinte minden esetben költséghatékonysági kérdésekről van szó végeredményben.) Mind a problematikákkal, mind pedig a kezelésükkel kapcsolatban a két legjellemzőbb esetet tárgyaljuk röviden. Elöljáróban rámutatnánk, hogy a </w:t>
      </w:r>
      <w:r w:rsidR="00834547" w:rsidRPr="00B21368">
        <w:rPr>
          <w:rFonts w:ascii="Times New Roman" w:hAnsi="Times New Roman" w:cs="Times New Roman"/>
          <w:b/>
          <w:sz w:val="24"/>
        </w:rPr>
        <w:t xml:space="preserve">költségvetéssel kapcsolatban egyetlen alapvető szabály létezik, nevezetesen: „minden a projekt céljának eléréséhez szükséges költség </w:t>
      </w:r>
      <w:r w:rsidR="00834547" w:rsidRPr="00B21368">
        <w:rPr>
          <w:rFonts w:ascii="Times New Roman" w:hAnsi="Times New Roman" w:cs="Times New Roman"/>
          <w:b/>
          <w:sz w:val="24"/>
        </w:rPr>
        <w:lastRenderedPageBreak/>
        <w:t>elszámolható”.</w:t>
      </w:r>
      <w:r w:rsidR="00834547" w:rsidRPr="00834547">
        <w:rPr>
          <w:rFonts w:ascii="Times New Roman" w:hAnsi="Times New Roman" w:cs="Times New Roman"/>
          <w:sz w:val="24"/>
        </w:rPr>
        <w:t xml:space="preserve"> Általában ezt a kitételt szokták különbözőképp értékelni a pályázok és a bírálók…. A leggyakoribb kifogások az alábbiak szoktak lenni:</w:t>
      </w:r>
    </w:p>
    <w:p w:rsidR="00834547" w:rsidRPr="00834547" w:rsidRDefault="00834547" w:rsidP="00834547">
      <w:pPr>
        <w:pStyle w:val="Stlusszabi"/>
        <w:numPr>
          <w:ilvl w:val="0"/>
          <w:numId w:val="4"/>
        </w:numPr>
        <w:ind w:left="567" w:hanging="283"/>
      </w:pPr>
      <w:r w:rsidRPr="00834547">
        <w:t>drága az egész az elért hatáshoz képest,</w:t>
      </w:r>
    </w:p>
    <w:p w:rsidR="00834547" w:rsidRPr="00834547" w:rsidRDefault="00834547" w:rsidP="00834547">
      <w:pPr>
        <w:pStyle w:val="Stlusszabi"/>
        <w:numPr>
          <w:ilvl w:val="0"/>
          <w:numId w:val="4"/>
        </w:numPr>
        <w:ind w:left="567" w:hanging="283"/>
      </w:pPr>
      <w:r w:rsidRPr="00834547">
        <w:t>a projektmenedzsment túl költséges,</w:t>
      </w:r>
    </w:p>
    <w:p w:rsidR="00834547" w:rsidRPr="00834547" w:rsidRDefault="00834547" w:rsidP="00834547">
      <w:pPr>
        <w:pStyle w:val="Stlusszabi"/>
        <w:numPr>
          <w:ilvl w:val="0"/>
          <w:numId w:val="4"/>
        </w:numPr>
        <w:ind w:left="567" w:hanging="283"/>
      </w:pPr>
      <w:r w:rsidRPr="00834547">
        <w:t>a szakértői díjak túl magasak,</w:t>
      </w:r>
    </w:p>
    <w:p w:rsidR="00834547" w:rsidRPr="00834547" w:rsidRDefault="00834547" w:rsidP="00834547">
      <w:pPr>
        <w:pStyle w:val="Stlusszabi"/>
        <w:numPr>
          <w:ilvl w:val="0"/>
          <w:numId w:val="4"/>
        </w:numPr>
        <w:ind w:left="567" w:hanging="283"/>
      </w:pPr>
      <w:r w:rsidRPr="00834547">
        <w:t>felülárazott szolgáltatásokat tartalmaz a pályázat,</w:t>
      </w:r>
    </w:p>
    <w:p w:rsidR="00834547" w:rsidRPr="00B21368" w:rsidRDefault="00834547" w:rsidP="00B21368">
      <w:pPr>
        <w:pStyle w:val="Stlusszabi"/>
        <w:numPr>
          <w:ilvl w:val="0"/>
          <w:numId w:val="4"/>
        </w:numPr>
        <w:spacing w:after="160"/>
        <w:ind w:left="567" w:hanging="283"/>
      </w:pPr>
      <w:r w:rsidRPr="00834547">
        <w:t>a cél eléréséhez nem szükséges kiadások felmerülése.</w:t>
      </w:r>
    </w:p>
    <w:p w:rsidR="00834547" w:rsidRPr="00834547" w:rsidRDefault="00834547" w:rsidP="00B21368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42AAB">
        <w:rPr>
          <w:rFonts w:ascii="Times New Roman" w:hAnsi="Times New Roman" w:cs="Times New Roman"/>
          <w:b/>
          <w:sz w:val="24"/>
        </w:rPr>
        <w:t>Világosan el kell különíteni egymástól két logikájában eltérő problémát,</w:t>
      </w:r>
      <w:r w:rsidRPr="00834547">
        <w:rPr>
          <w:rFonts w:ascii="Times New Roman" w:hAnsi="Times New Roman" w:cs="Times New Roman"/>
          <w:sz w:val="24"/>
        </w:rPr>
        <w:t xml:space="preserve"> amely értelemszerűen meghatározza a kezelésüket is:</w:t>
      </w:r>
    </w:p>
    <w:p w:rsidR="00834547" w:rsidRPr="00834547" w:rsidRDefault="00834547" w:rsidP="00834547">
      <w:pPr>
        <w:pStyle w:val="Stlusszabi"/>
        <w:numPr>
          <w:ilvl w:val="0"/>
          <w:numId w:val="5"/>
        </w:numPr>
        <w:ind w:left="567" w:hanging="283"/>
      </w:pPr>
      <w:r w:rsidRPr="00834547">
        <w:t>magával a szükségességgel van a baj,</w:t>
      </w:r>
    </w:p>
    <w:p w:rsidR="00834547" w:rsidRPr="00834547" w:rsidRDefault="00834547" w:rsidP="00B21368">
      <w:pPr>
        <w:pStyle w:val="Stlusszabi"/>
        <w:numPr>
          <w:ilvl w:val="0"/>
          <w:numId w:val="5"/>
        </w:numPr>
        <w:spacing w:after="160"/>
        <w:ind w:left="567" w:hanging="283"/>
      </w:pPr>
      <w:r w:rsidRPr="00834547">
        <w:t>nem a tevékenység, hanem az ára probléma (túl magas).</w:t>
      </w:r>
    </w:p>
    <w:p w:rsidR="00834547" w:rsidRPr="00834547" w:rsidRDefault="00834547" w:rsidP="00B21368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34547">
        <w:rPr>
          <w:rFonts w:ascii="Times New Roman" w:hAnsi="Times New Roman" w:cs="Times New Roman"/>
          <w:sz w:val="24"/>
        </w:rPr>
        <w:t>Az első esetben azt kérdőjelezik meg, hogy az adott tevékenységre, vagy szolgáltatás igénybevételére feltétlenül szükség van-e a projekt céljainak megvalósításához. Nyilván ebben az esetben az előzőekben említett főszabály kiegészül azzal a kitétellel, hogy az ilyen megkérdőjelezett tételek esetén rajtunk van a „bizonyítás terhe” (a szükségesség igazolása). A második esetben nem vitatják a szükségesség tényét, azonban az árát túl magasnak tartják. Mindkét esetben alapjaiban véve két különféle logika alapján járhat el a támogató, a továbbiakban ezeket tárgyaljuk.</w:t>
      </w:r>
    </w:p>
    <w:p w:rsidR="00834547" w:rsidRPr="00834547" w:rsidRDefault="00834547" w:rsidP="00834547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34547">
        <w:rPr>
          <w:rFonts w:ascii="Times New Roman" w:hAnsi="Times New Roman" w:cs="Times New Roman"/>
          <w:sz w:val="24"/>
        </w:rPr>
        <w:t xml:space="preserve">Az egyik lehetőséget nevezhetjük </w:t>
      </w:r>
      <w:r w:rsidRPr="00842AAB">
        <w:rPr>
          <w:rFonts w:ascii="Times New Roman" w:hAnsi="Times New Roman" w:cs="Times New Roman"/>
          <w:b/>
          <w:sz w:val="24"/>
        </w:rPr>
        <w:t>„feltételes támogatások esetének”.</w:t>
      </w:r>
      <w:r w:rsidRPr="00834547">
        <w:rPr>
          <w:rFonts w:ascii="Times New Roman" w:hAnsi="Times New Roman" w:cs="Times New Roman"/>
          <w:sz w:val="24"/>
        </w:rPr>
        <w:t xml:space="preserve"> Ekkor a potenciális támogató egy egyoldalú ajánlatot tesz a potenciális kedvezményezett irányába.</w:t>
      </w:r>
    </w:p>
    <w:p w:rsidR="00834547" w:rsidRPr="00834547" w:rsidRDefault="00FC6D2F" w:rsidP="00834547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hu-H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3667023</wp:posOffset>
            </wp:positionH>
            <wp:positionV relativeFrom="margin">
              <wp:posOffset>7138518</wp:posOffset>
            </wp:positionV>
            <wp:extent cx="2122170" cy="1211580"/>
            <wp:effectExtent l="0" t="0" r="0" b="7620"/>
            <wp:wrapSquare wrapText="bothSides"/>
            <wp:docPr id="5" name="Kép 5" descr="Képtalálat a következőre: „yes-n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 a következőre: „yes-no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547" w:rsidRPr="00834547">
        <w:rPr>
          <w:rFonts w:ascii="Times New Roman" w:hAnsi="Times New Roman" w:cs="Times New Roman"/>
          <w:sz w:val="24"/>
        </w:rPr>
        <w:t xml:space="preserve">Ebben az esetben általában megjelenik valamilyen </w:t>
      </w:r>
      <w:r w:rsidR="00834547" w:rsidRPr="00FC6D2F">
        <w:rPr>
          <w:rFonts w:ascii="Times New Roman" w:hAnsi="Times New Roman" w:cs="Times New Roman"/>
          <w:b/>
          <w:sz w:val="24"/>
        </w:rPr>
        <w:t>„Csak abban az esetben áll módunkban támogatni, ha…”</w:t>
      </w:r>
      <w:r w:rsidR="00834547" w:rsidRPr="00834547">
        <w:rPr>
          <w:rFonts w:ascii="Times New Roman" w:hAnsi="Times New Roman" w:cs="Times New Roman"/>
          <w:sz w:val="24"/>
        </w:rPr>
        <w:t xml:space="preserve"> jellegű mondat, ami főszabályként – pontosan a világos helyzet megteremtése érdekében – általában kiegészül még egy „Az új költségvetési tábla benyújtása és az ily módon csökkentett költségvetés pályázó általi egyértelmű elfogadása a támogatási szerződés aláírásának feltétele” típusú mondattal is. Ennél a megoldási típusnál értelemszerűen nincs lehetőség további magyarázkodásra, illetve nem kapunk lehetőséget az egyes sorok mértékének/jogosultságának igazolására sem (leegyszerűsítve: ennél az eljárási rendnél nem lehet alkudozni). Ilyenkor alapjaiban véve egyszerűbb a </w:t>
      </w:r>
      <w:r w:rsidR="00834547" w:rsidRPr="00834547">
        <w:rPr>
          <w:rFonts w:ascii="Times New Roman" w:hAnsi="Times New Roman" w:cs="Times New Roman"/>
          <w:sz w:val="24"/>
        </w:rPr>
        <w:lastRenderedPageBreak/>
        <w:t>helyzetünk, mivel csak azt igen-nem típusú mérlegelést végezhetünk, ami a mindennapi gyakorlatban az alábbiakat jelentheti:</w:t>
      </w:r>
    </w:p>
    <w:p w:rsidR="00834547" w:rsidRPr="00834547" w:rsidRDefault="00834547" w:rsidP="00834547">
      <w:pPr>
        <w:pStyle w:val="Stlusszabi"/>
        <w:numPr>
          <w:ilvl w:val="0"/>
          <w:numId w:val="6"/>
        </w:numPr>
        <w:ind w:left="567" w:hanging="283"/>
      </w:pPr>
      <w:r w:rsidRPr="00834547">
        <w:t>a támogatás ilyen mértékű csökkentése mellett meg tudjuk-e csinálni?</w:t>
      </w:r>
    </w:p>
    <w:p w:rsidR="00834547" w:rsidRPr="00834547" w:rsidRDefault="00834547" w:rsidP="00834547">
      <w:pPr>
        <w:pStyle w:val="Stlusszabi"/>
        <w:numPr>
          <w:ilvl w:val="0"/>
          <w:numId w:val="6"/>
        </w:numPr>
        <w:ind w:left="567" w:hanging="283"/>
      </w:pPr>
      <w:r w:rsidRPr="00834547">
        <w:t>a támogatás ilyen mértékű csökkentése mellett meg akarjuk-e csinálni?</w:t>
      </w:r>
      <w:r w:rsidR="00FC6D2F" w:rsidRPr="00FC6D2F">
        <w:t xml:space="preserve"> </w:t>
      </w:r>
    </w:p>
    <w:p w:rsidR="00834547" w:rsidRPr="00834547" w:rsidRDefault="00834547" w:rsidP="0083454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34547">
        <w:rPr>
          <w:rFonts w:ascii="Times New Roman" w:hAnsi="Times New Roman" w:cs="Times New Roman"/>
          <w:sz w:val="24"/>
        </w:rPr>
        <w:t>Rá kell világítanunk, hogy feltétlenül érdemes végiggondolni a fentieket. Extrém esetben valóban előfordulhat, hogy sikerül olyan jól megkurtítania költségvetést, ami már gyakorlatilag lehetetlenné teszi az eredeti projektcélok maradéktalan megvalósítását. Ekkor érdemesebb még a szerződés aláírása előtt elállni az egésztől. Ez az alternatíva még mindig sokkal jobb, mint egy sikertelen megvalósítás után visszaadni a támogatást.</w:t>
      </w:r>
    </w:p>
    <w:p w:rsidR="00834547" w:rsidRPr="00834547" w:rsidRDefault="00834547" w:rsidP="0083454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34547">
        <w:rPr>
          <w:rFonts w:ascii="Times New Roman" w:hAnsi="Times New Roman" w:cs="Times New Roman"/>
          <w:sz w:val="24"/>
        </w:rPr>
        <w:t xml:space="preserve">A másik lehetőséget nevezhetjük </w:t>
      </w:r>
      <w:r w:rsidRPr="00842AAB">
        <w:rPr>
          <w:rFonts w:ascii="Times New Roman" w:hAnsi="Times New Roman" w:cs="Times New Roman"/>
          <w:b/>
          <w:sz w:val="24"/>
        </w:rPr>
        <w:t>„konzultációs eljárásnak”.</w:t>
      </w:r>
      <w:r w:rsidRPr="00834547">
        <w:rPr>
          <w:rFonts w:ascii="Times New Roman" w:hAnsi="Times New Roman" w:cs="Times New Roman"/>
          <w:sz w:val="24"/>
        </w:rPr>
        <w:t xml:space="preserve"> Ekkor a potenciális támogató kérdéseket tesz fel a potenciális kedvezményezettnek bizonyos tételek szükségességével, illetve mértékével kapcsolatosan, esetlegesen további magyarázatokat kérve.</w:t>
      </w:r>
    </w:p>
    <w:p w:rsidR="00834547" w:rsidRPr="00834547" w:rsidRDefault="00834547" w:rsidP="0083454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34547">
        <w:rPr>
          <w:rFonts w:ascii="Times New Roman" w:hAnsi="Times New Roman" w:cs="Times New Roman"/>
          <w:sz w:val="24"/>
        </w:rPr>
        <w:t xml:space="preserve">Ha az adott tevékenység esetén magával a </w:t>
      </w:r>
      <w:r w:rsidRPr="00842AAB">
        <w:rPr>
          <w:rFonts w:ascii="Times New Roman" w:hAnsi="Times New Roman" w:cs="Times New Roman"/>
          <w:b/>
          <w:sz w:val="24"/>
        </w:rPr>
        <w:t>szükségességgel van a baj,</w:t>
      </w:r>
      <w:r w:rsidRPr="00834547">
        <w:rPr>
          <w:rFonts w:ascii="Times New Roman" w:hAnsi="Times New Roman" w:cs="Times New Roman"/>
          <w:sz w:val="24"/>
        </w:rPr>
        <w:t xml:space="preserve"> akkor következik be az az eset, amikor a támogató számottevően részletesebb indoklást kér, miért szükséges a cél eléréséhez az adott tevékenység az adott terjedelemben. Ebben az esetben szerencsés, ha logikus érveket tudunk felsorakoztatni az adott tevékenység feltétlen szükségessége mellett. (Határozottabban fogalmazva: nyilván részletesen meg kell tudni indokolni minden egyes költségvetési sort) Az ilyen szükségességi kételyek – jeleznénk az esetek meghatározó hányadánál teljesen jogosan – általában a „cél elérését segítő szolgáltatások” esetén szokott jelentkezni (igényfelmérés, tájékoztatás, szakértői tanulmányok, csapatépítés, tréningek stb.). Ekkor valóban felmerülhet a kérdés, hogy valóban kell-e egyáltalán az adott tevékenység a projektcél teljesüléséhez. (Nyilván pontosan közösségi források védelme érdekében az ilyen „nem szorosan kapcsolódó tételek” szinte minden esetben mérlegelés tárgyát képezhetik.)</w:t>
      </w:r>
    </w:p>
    <w:p w:rsidR="00834547" w:rsidRPr="00834547" w:rsidRDefault="00B27B70" w:rsidP="0083454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hu-H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6769227</wp:posOffset>
            </wp:positionV>
            <wp:extent cx="1521460" cy="1353185"/>
            <wp:effectExtent l="0" t="0" r="2540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4547" w:rsidRPr="00834547">
        <w:rPr>
          <w:rFonts w:ascii="Times New Roman" w:hAnsi="Times New Roman" w:cs="Times New Roman"/>
          <w:sz w:val="24"/>
        </w:rPr>
        <w:t xml:space="preserve">A második esetben a </w:t>
      </w:r>
      <w:r w:rsidR="00834547" w:rsidRPr="00842AAB">
        <w:rPr>
          <w:rFonts w:ascii="Times New Roman" w:hAnsi="Times New Roman" w:cs="Times New Roman"/>
          <w:b/>
          <w:sz w:val="24"/>
        </w:rPr>
        <w:t>nem a tevékenység, hanem az ára a probléma</w:t>
      </w:r>
      <w:r w:rsidR="00834547" w:rsidRPr="00834547">
        <w:rPr>
          <w:rFonts w:ascii="Times New Roman" w:hAnsi="Times New Roman" w:cs="Times New Roman"/>
          <w:sz w:val="24"/>
        </w:rPr>
        <w:t xml:space="preserve"> (túl magas). Ekkor –amennyiben van lehetőség a konzultációra – az adott tétel nagyságának jogosságát kell alátámasztani. Nyilván mind a különféle igénybe vett szolgáltatásoknál, mind a vásárolni kívánt tételeknél, mind pedig a résztvevő szakértők javadalmazásánál nem lehet pontosan megmondani, hogy mi mennyit ér, nincsenek abszolút igazságok. Ezzel a megjegyzéssel együtt is megvilágítanánk néhány „megszokott megoldást”, ami általában elfogadott az ilyen esetekben.</w:t>
      </w:r>
    </w:p>
    <w:p w:rsidR="00834547" w:rsidRPr="00834547" w:rsidRDefault="00834547" w:rsidP="0083454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34547">
        <w:rPr>
          <w:rFonts w:ascii="Times New Roman" w:hAnsi="Times New Roman" w:cs="Times New Roman"/>
          <w:sz w:val="24"/>
        </w:rPr>
        <w:lastRenderedPageBreak/>
        <w:t xml:space="preserve">A </w:t>
      </w:r>
      <w:r w:rsidRPr="00842AAB">
        <w:rPr>
          <w:rFonts w:ascii="Times New Roman" w:hAnsi="Times New Roman" w:cs="Times New Roman"/>
          <w:b/>
          <w:sz w:val="24"/>
        </w:rPr>
        <w:t>beszerzéseknél és alvállalkozásoknál</w:t>
      </w:r>
      <w:r w:rsidRPr="00834547">
        <w:rPr>
          <w:rFonts w:ascii="Times New Roman" w:hAnsi="Times New Roman" w:cs="Times New Roman"/>
          <w:sz w:val="24"/>
        </w:rPr>
        <w:t xml:space="preserve"> gyakorlatilag a </w:t>
      </w:r>
      <w:r w:rsidRPr="00842AAB">
        <w:rPr>
          <w:rFonts w:ascii="Times New Roman" w:hAnsi="Times New Roman" w:cs="Times New Roman"/>
          <w:b/>
          <w:sz w:val="24"/>
        </w:rPr>
        <w:t xml:space="preserve">kulcskérdés az előszeretettel használt piaci viszonyoknak történő megfelelés bizonyítása. </w:t>
      </w:r>
      <w:r w:rsidRPr="00834547">
        <w:rPr>
          <w:rFonts w:ascii="Times New Roman" w:hAnsi="Times New Roman" w:cs="Times New Roman"/>
          <w:sz w:val="24"/>
        </w:rPr>
        <w:t>Az általános eljárási rendben – nyilván nem közbeszerzés alá eső tételekre gondolva – ennek a legmegfelelőbb eszköze a három egymástól független árajánlat benyújtása az adott tételre vonatkozóan. Ez már csak azért is kellemes megoldás, mert már a pályázat elkészítése során illett tájékozódnunk az adott tételek áráról, és ezzel összhangban határoztuk meg a tervezett összeget.</w:t>
      </w:r>
    </w:p>
    <w:p w:rsidR="00834547" w:rsidRPr="00834547" w:rsidRDefault="00834547" w:rsidP="0083454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34547">
        <w:rPr>
          <w:rFonts w:ascii="Times New Roman" w:hAnsi="Times New Roman" w:cs="Times New Roman"/>
          <w:sz w:val="24"/>
        </w:rPr>
        <w:t xml:space="preserve">A </w:t>
      </w:r>
      <w:r w:rsidRPr="00842AAB">
        <w:rPr>
          <w:rFonts w:ascii="Times New Roman" w:hAnsi="Times New Roman" w:cs="Times New Roman"/>
          <w:b/>
          <w:sz w:val="24"/>
        </w:rPr>
        <w:t>közreműködők javadalmazásánál</w:t>
      </w:r>
      <w:r w:rsidRPr="00834547">
        <w:rPr>
          <w:rFonts w:ascii="Times New Roman" w:hAnsi="Times New Roman" w:cs="Times New Roman"/>
          <w:sz w:val="24"/>
        </w:rPr>
        <w:t xml:space="preserve"> még szélsőségesebb értékek jelenhetnek meg. Nyilván ebben az esetben még </w:t>
      </w:r>
      <w:r w:rsidRPr="00842AAB">
        <w:rPr>
          <w:rFonts w:ascii="Times New Roman" w:hAnsi="Times New Roman" w:cs="Times New Roman"/>
          <w:b/>
          <w:sz w:val="24"/>
        </w:rPr>
        <w:t xml:space="preserve">nagyobb kihívást jelent az adott ember munkájának „korrekt(?)” ellentételezése. </w:t>
      </w:r>
      <w:r w:rsidRPr="00834547">
        <w:rPr>
          <w:rFonts w:ascii="Times New Roman" w:hAnsi="Times New Roman" w:cs="Times New Roman"/>
          <w:sz w:val="24"/>
        </w:rPr>
        <w:t>Ekkor talán a legszerencsésebb megoldás</w:t>
      </w:r>
      <w:r w:rsidR="000E1BB4">
        <w:rPr>
          <w:rFonts w:ascii="Times New Roman" w:hAnsi="Times New Roman" w:cs="Times New Roman"/>
          <w:sz w:val="24"/>
        </w:rPr>
        <w:t>, ha összhangra törekszünk</w:t>
      </w:r>
      <w:r w:rsidRPr="00834547">
        <w:rPr>
          <w:rFonts w:ascii="Times New Roman" w:hAnsi="Times New Roman" w:cs="Times New Roman"/>
          <w:sz w:val="24"/>
        </w:rPr>
        <w:t xml:space="preserve"> az adott kompetenciákkal rendelkező munkavállalóknál „szokásos” órabérével (lehetőleg közhiteles statisztikai adatok alapján, ha nincs akkor általában szokásos). Majd a szakértők által ledolgozott idő alapján már kalkulálható a szakértők javadalmazása. Ezt az eljárást választva már elég jól indokolhatóvá válnak az egyes tervezett kifizetések. Rögtön kapcsolódik ehhez egy figyelmeztetés is: a ledolgozott órákat ekkor majd valószínűsíthetően igazolni kell – ráadásul túlmunkaként.</w:t>
      </w:r>
    </w:p>
    <w:p w:rsidR="00834547" w:rsidRPr="00834547" w:rsidRDefault="00834547" w:rsidP="0083454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34547">
        <w:rPr>
          <w:rFonts w:ascii="Times New Roman" w:hAnsi="Times New Roman" w:cs="Times New Roman"/>
          <w:sz w:val="24"/>
        </w:rPr>
        <w:t xml:space="preserve">Egy másik problémahalmaz, amely gyakran megjelenik a szerződés megkötését megelőzően </w:t>
      </w:r>
      <w:r w:rsidRPr="00842AAB">
        <w:rPr>
          <w:rFonts w:ascii="Times New Roman" w:hAnsi="Times New Roman" w:cs="Times New Roman"/>
          <w:b/>
          <w:sz w:val="24"/>
        </w:rPr>
        <w:t>az ütemezés problémái.</w:t>
      </w:r>
      <w:r w:rsidRPr="00834547">
        <w:rPr>
          <w:rFonts w:ascii="Times New Roman" w:hAnsi="Times New Roman" w:cs="Times New Roman"/>
          <w:sz w:val="24"/>
        </w:rPr>
        <w:t xml:space="preserve"> Tervezés során egy részletes a cselekvési és ütemtervet is készítettünk. </w:t>
      </w:r>
      <w:r w:rsidRPr="00842AAB">
        <w:rPr>
          <w:rFonts w:ascii="Times New Roman" w:hAnsi="Times New Roman" w:cs="Times New Roman"/>
          <w:b/>
          <w:sz w:val="24"/>
        </w:rPr>
        <w:t>Gyakran előfordul, hogy a pályázat bírálata, a szerződéskötés, továbbá az egyéb vitás kérdések tisztázása annyira elhúzódik, hogy az eredeti terveknek megfelelő ütemezés automatikusan tarthatatlanná válik</w:t>
      </w:r>
      <w:r w:rsidRPr="00834547">
        <w:rPr>
          <w:rFonts w:ascii="Times New Roman" w:hAnsi="Times New Roman" w:cs="Times New Roman"/>
          <w:sz w:val="24"/>
        </w:rPr>
        <w:t>, mivel még meg sem tudtuk kezdeni a projekt megvalósítását az első tervezett dátumig (ad abszurdum még aláírt szerződéssel sem rendelkezünk). Ekkor szükségképp bekövetkezik a szükséges rossz, módosítanunk kell az alaposan kidolgozott ütemtervünket, amely módosítások egyaránt érintik a:</w:t>
      </w:r>
    </w:p>
    <w:p w:rsidR="00834547" w:rsidRPr="00834547" w:rsidRDefault="00834547" w:rsidP="00834547">
      <w:pPr>
        <w:pStyle w:val="Stlusszabi"/>
        <w:numPr>
          <w:ilvl w:val="0"/>
          <w:numId w:val="8"/>
        </w:numPr>
      </w:pPr>
      <w:r w:rsidRPr="00834547">
        <w:t>a mérföldköveket</w:t>
      </w:r>
    </w:p>
    <w:p w:rsidR="00834547" w:rsidRPr="00834547" w:rsidRDefault="00834547" w:rsidP="00834547">
      <w:pPr>
        <w:pStyle w:val="Stlusszabi"/>
        <w:numPr>
          <w:ilvl w:val="0"/>
          <w:numId w:val="8"/>
        </w:numPr>
      </w:pPr>
      <w:r w:rsidRPr="00834547">
        <w:t>a cselekvési és ütemtervet</w:t>
      </w:r>
    </w:p>
    <w:p w:rsidR="00834547" w:rsidRPr="00403946" w:rsidRDefault="00834547" w:rsidP="0083454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34547">
        <w:rPr>
          <w:rFonts w:ascii="Times New Roman" w:hAnsi="Times New Roman" w:cs="Times New Roman"/>
          <w:sz w:val="24"/>
        </w:rPr>
        <w:t xml:space="preserve">Amikor elvégezzük kötelezően szükséges módosításokat, akkor – mielőtt bármit is tennénk – mindig figyeljünk arra oda, hogy egy adott dátumszerű módosítást pontosan milyen anyagokon is kell átvezetnünk. Például a fent említett esetben rendkívül fontos, hogy </w:t>
      </w:r>
      <w:r w:rsidRPr="00403946">
        <w:rPr>
          <w:rFonts w:ascii="Times New Roman" w:hAnsi="Times New Roman" w:cs="Times New Roman"/>
          <w:b/>
          <w:sz w:val="24"/>
        </w:rPr>
        <w:t>összhangban legyenek a módosítások a két dokumentumban!!!</w:t>
      </w:r>
    </w:p>
    <w:p w:rsidR="00834547" w:rsidRPr="00834547" w:rsidRDefault="00834547" w:rsidP="0083454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34547">
        <w:rPr>
          <w:rFonts w:ascii="Times New Roman" w:hAnsi="Times New Roman" w:cs="Times New Roman"/>
          <w:sz w:val="24"/>
        </w:rPr>
        <w:t xml:space="preserve">Kedvcsinálónak a rajtunk kívülálló okokból bekövetkező módosításokhoz még megemlítenénk, hogy alapesetben természetesen a módosítások következtében szükségképp a költségvetést is átütemezzük, nem is beszélve a Cash-flow tervről. Összegezve jelen téma </w:t>
      </w:r>
      <w:r w:rsidRPr="00834547">
        <w:rPr>
          <w:rFonts w:ascii="Times New Roman" w:hAnsi="Times New Roman" w:cs="Times New Roman"/>
          <w:sz w:val="24"/>
        </w:rPr>
        <w:lastRenderedPageBreak/>
        <w:t xml:space="preserve">esetén különösen igaz a pályázatok egészére vonatkozó szabály: ha megoldható, akkor próbáljuk elkerülni a módosításokat. </w:t>
      </w:r>
    </w:p>
    <w:p w:rsidR="00834547" w:rsidRPr="00842AAB" w:rsidRDefault="00834547" w:rsidP="0083454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34547">
        <w:rPr>
          <w:rFonts w:ascii="Times New Roman" w:hAnsi="Times New Roman" w:cs="Times New Roman"/>
          <w:sz w:val="24"/>
        </w:rPr>
        <w:t>Ha elkerülhetetlen az eredeti tervektől történő eltérés, akkor két – logikájában és következményeiben különböző „módosítási alapesetet különíthetünk el. Ezeket a szemléletesség kedvéért nevezzük</w:t>
      </w:r>
      <w:r w:rsidR="000E1BB4">
        <w:rPr>
          <w:rFonts w:ascii="Times New Roman" w:hAnsi="Times New Roman" w:cs="Times New Roman"/>
          <w:sz w:val="24"/>
        </w:rPr>
        <w:t xml:space="preserve"> „rövidítésnek”, illetve „</w:t>
      </w:r>
      <w:r w:rsidRPr="00842AAB">
        <w:rPr>
          <w:rFonts w:ascii="Times New Roman" w:hAnsi="Times New Roman" w:cs="Times New Roman"/>
          <w:sz w:val="24"/>
        </w:rPr>
        <w:t>csúsztatásnak”.</w:t>
      </w:r>
    </w:p>
    <w:p w:rsidR="00834547" w:rsidRPr="00834547" w:rsidRDefault="00834547" w:rsidP="0083454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34547">
        <w:rPr>
          <w:rFonts w:ascii="Times New Roman" w:hAnsi="Times New Roman" w:cs="Times New Roman"/>
          <w:sz w:val="24"/>
        </w:rPr>
        <w:t xml:space="preserve">A </w:t>
      </w:r>
      <w:r w:rsidRPr="00842AAB">
        <w:rPr>
          <w:rFonts w:ascii="Times New Roman" w:hAnsi="Times New Roman" w:cs="Times New Roman"/>
          <w:b/>
          <w:sz w:val="24"/>
        </w:rPr>
        <w:t>rövidítés</w:t>
      </w:r>
      <w:r w:rsidRPr="00834547">
        <w:rPr>
          <w:rFonts w:ascii="Times New Roman" w:hAnsi="Times New Roman" w:cs="Times New Roman"/>
          <w:sz w:val="24"/>
        </w:rPr>
        <w:t xml:space="preserve"> a donorfinanszírozott projektek sajátosságaiból következő, szükségképp előálló módosítás. Bizonyos esetekben előre rögzített a megvalósítás végső dátuma (általában a pályázati kiírásban dátumszerűen közlik is, hogy mi a legkésőbbi időpont, amire be kell fejezni a megvalósítást. Abban az esetben, ha az ütemezés elkészítése során maradéktalanul ki kívántuk tölteni a rendelkezésre álló időszakot, és a projekt zárására a tervezett dátum a kötelező befejezés dátuma, akkor egyszerűen fogalmazva már nincs hova „tolni” a megvalósítást. Ebből adódóan azt kell </w:t>
      </w:r>
      <w:r w:rsidRPr="00842AAB">
        <w:rPr>
          <w:rFonts w:ascii="Times New Roman" w:hAnsi="Times New Roman" w:cs="Times New Roman"/>
          <w:b/>
          <w:sz w:val="24"/>
        </w:rPr>
        <w:t>mérlegelnünk, hogy a rendelkezésre álló (rövidebb) idő alatt meg tudjuk-e valósítani eredeti céljainkat.</w:t>
      </w:r>
      <w:r w:rsidRPr="00834547">
        <w:rPr>
          <w:rFonts w:ascii="Times New Roman" w:hAnsi="Times New Roman" w:cs="Times New Roman"/>
          <w:sz w:val="24"/>
        </w:rPr>
        <w:t xml:space="preserve"> (Ekkor is elképzelhető olyan mértékű rövidítés, amely már tényleg kétségessé teszi a sikeres megvalósítást).</w:t>
      </w:r>
    </w:p>
    <w:p w:rsidR="00834547" w:rsidRPr="00834547" w:rsidRDefault="00834547" w:rsidP="0083454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34547">
        <w:rPr>
          <w:rFonts w:ascii="Times New Roman" w:hAnsi="Times New Roman" w:cs="Times New Roman"/>
          <w:sz w:val="24"/>
        </w:rPr>
        <w:t>Abban az esetben, ha a változások ellenére is a megvalósítás mellett döntünk, akkor szinte bizonyosan nyilatkoznunk kell nagyjából a következő értelemben: gyakorlatilag egy ígéretet teszünk, mely szerint változatlan tartalommal és célokkal a tevékenység intenzitásának fokozásával megvalósítjuk a projektet a rendelkezésre álló időintervallumon belül. Rögtön rávilágítanánk, hogy ennek a módosításnak általában további következményei is vannak, gondoljunk csak a havi rendszerességgel megjelenő kifizetésekre. A rövidítés a költségvetést összegszerűségében is érinteni szokta, ezért szükséges a megfelelő módosítások végrehajtása. (Ha egy 24 hónapra tervezett projekt 22 hónap alatt valósul meg, akkor nyilván havi rendszerességgel jelentkező kifizetésekből csak 22 tétel indokolt.)</w:t>
      </w:r>
    </w:p>
    <w:p w:rsidR="00834547" w:rsidRPr="00834547" w:rsidRDefault="00834547" w:rsidP="0083454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34547">
        <w:rPr>
          <w:rFonts w:ascii="Times New Roman" w:hAnsi="Times New Roman" w:cs="Times New Roman"/>
          <w:sz w:val="24"/>
        </w:rPr>
        <w:t xml:space="preserve">A másik módosítási alapeset </w:t>
      </w:r>
      <w:r w:rsidRPr="00842AAB">
        <w:rPr>
          <w:rFonts w:ascii="Times New Roman" w:hAnsi="Times New Roman" w:cs="Times New Roman"/>
          <w:b/>
          <w:sz w:val="24"/>
        </w:rPr>
        <w:t>a csúsztatás</w:t>
      </w:r>
      <w:r w:rsidRPr="00834547">
        <w:rPr>
          <w:rFonts w:ascii="Times New Roman" w:hAnsi="Times New Roman" w:cs="Times New Roman"/>
          <w:sz w:val="24"/>
        </w:rPr>
        <w:t>, ekkor nem rögzített a projekt szükségszerű befejezése. Minden tekintetben ez az egyszerűbb ese</w:t>
      </w:r>
      <w:r w:rsidRPr="00842AAB">
        <w:rPr>
          <w:rFonts w:ascii="Times New Roman" w:hAnsi="Times New Roman" w:cs="Times New Roman"/>
          <w:sz w:val="24"/>
        </w:rPr>
        <w:t>t,</w:t>
      </w:r>
      <w:r w:rsidRPr="00842AAB">
        <w:rPr>
          <w:rFonts w:ascii="Times New Roman" w:hAnsi="Times New Roman" w:cs="Times New Roman"/>
          <w:b/>
          <w:sz w:val="24"/>
        </w:rPr>
        <w:t xml:space="preserve"> minden megvalósítási dátum hátrább kerül a szükséges idővel. </w:t>
      </w:r>
      <w:r w:rsidRPr="00834547">
        <w:rPr>
          <w:rFonts w:ascii="Times New Roman" w:hAnsi="Times New Roman" w:cs="Times New Roman"/>
          <w:sz w:val="24"/>
        </w:rPr>
        <w:t>Érdekességképp megjegyezzük, hogy a jelenlegi gyakorlatban gyakran már a tervezésnél is nem konkrét hónapok kerülnek ismertetésre, hanem a projekt hányadik hónapja, ez a megoldás számottevően megkönnyíti a módosítások átvezetését, mivel csak a szerződésben más dátum</w:t>
      </w:r>
      <w:r w:rsidR="00C10C97" w:rsidRPr="00C10C97">
        <w:t xml:space="preserve"> </w:t>
      </w:r>
      <w:r w:rsidRPr="00834547">
        <w:rPr>
          <w:rFonts w:ascii="Times New Roman" w:hAnsi="Times New Roman" w:cs="Times New Roman"/>
          <w:sz w:val="24"/>
        </w:rPr>
        <w:t xml:space="preserve">szerepel, mint a pályázatban, és szerződésben szereplő kezdőidőponthoz képest vizsgáljuk, hogy a projekt hányadik hónapjában járunk. Megjegyeznénk, hogy a projekt időben történő elcsúsztatása meg ritkán jár költségvetés összegszerű módosításával, nem szabad azonban elfelejtkeznünk az esetleges időbeli </w:t>
      </w:r>
      <w:r w:rsidRPr="00834547">
        <w:rPr>
          <w:rFonts w:ascii="Times New Roman" w:hAnsi="Times New Roman" w:cs="Times New Roman"/>
          <w:sz w:val="24"/>
        </w:rPr>
        <w:lastRenderedPageBreak/>
        <w:t>változásokról, különös tekintettel pl. a Cash-flow tervről, ha abban konkrét dátumok szerepeltek.</w:t>
      </w:r>
    </w:p>
    <w:p w:rsidR="00C0640B" w:rsidRPr="00682DD9" w:rsidRDefault="00C0640B" w:rsidP="00C0640B">
      <w:pPr>
        <w:pStyle w:val="Cmsor1"/>
        <w:numPr>
          <w:ilvl w:val="0"/>
          <w:numId w:val="0"/>
        </w:numPr>
        <w:rPr>
          <w:color w:val="4F81BD" w:themeColor="accent1"/>
          <w:sz w:val="32"/>
        </w:rPr>
      </w:pPr>
      <w:r w:rsidRPr="00682DD9">
        <w:rPr>
          <w:color w:val="4F81BD" w:themeColor="accent1"/>
          <w:sz w:val="32"/>
        </w:rPr>
        <w:t>OLVASOK-CSELEKSZEM-TAPASZTALOK- TANULOK</w:t>
      </w:r>
    </w:p>
    <w:p w:rsidR="00C0640B" w:rsidRDefault="00C0640B" w:rsidP="00C0640B">
      <w:pPr>
        <w:rPr>
          <w:i/>
        </w:rPr>
      </w:pPr>
    </w:p>
    <w:p w:rsidR="00C0640B" w:rsidRPr="009261BF" w:rsidRDefault="00C0640B" w:rsidP="00C0640B">
      <w:pPr>
        <w:shd w:val="clear" w:color="auto" w:fill="C4BC96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>Kitől érdemes még tanulni?</w:t>
      </w:r>
    </w:p>
    <w:p w:rsidR="00CA27F0" w:rsidRDefault="00CA27F0" w:rsidP="00CA27F0">
      <w:pPr>
        <w:pStyle w:val="Default"/>
      </w:pPr>
    </w:p>
    <w:p w:rsidR="00C0640B" w:rsidRPr="00CA27F0" w:rsidRDefault="00CA27F0" w:rsidP="00CA27F0">
      <w:pPr>
        <w:jc w:val="both"/>
        <w:rPr>
          <w:i/>
        </w:rPr>
      </w:pPr>
      <w:r w:rsidRPr="00CA27F0">
        <w:rPr>
          <w:i/>
        </w:rPr>
        <w:t xml:space="preserve"> Tájékoztató az indikatív árajánlat biztosításához</w:t>
      </w:r>
    </w:p>
    <w:bookmarkStart w:id="0" w:name="_GoBack"/>
    <w:bookmarkEnd w:id="0"/>
    <w:p w:rsidR="00710B99" w:rsidRPr="00710B99" w:rsidRDefault="00710B99" w:rsidP="00CA27F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hu-HU"/>
        </w:rPr>
        <w:fldChar w:fldCharType="begin"/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hu-HU"/>
        </w:rPr>
        <w:instrText xml:space="preserve"> HYPERLINK "</w:instrText>
      </w:r>
      <w:r w:rsidRPr="00710B9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hu-HU"/>
        </w:rPr>
        <w:instrText>https://www.palyazat.gov.hu/download.php?objectId=63545</w:instrText>
      </w:r>
    </w:p>
    <w:p w:rsidR="00710B99" w:rsidRPr="00A37C00" w:rsidRDefault="00710B99" w:rsidP="00CA27F0">
      <w:pPr>
        <w:spacing w:after="0" w:line="240" w:lineRule="auto"/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hu-HU"/>
        </w:rPr>
        <w:instrText xml:space="preserve">" </w:instrTex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hu-HU"/>
        </w:rPr>
        <w:fldChar w:fldCharType="separate"/>
      </w:r>
      <w:r w:rsidRPr="00A37C00">
        <w:rPr>
          <w:rStyle w:val="Hiperhivatkozs"/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https://www.palyazat.gov.hu/download.php?objectId=63545</w:t>
      </w:r>
    </w:p>
    <w:p w:rsidR="00CA27F0" w:rsidRPr="00CA27F0" w:rsidRDefault="00710B99" w:rsidP="00CA2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hu-HU"/>
        </w:rPr>
        <w:fldChar w:fldCharType="end"/>
      </w:r>
    </w:p>
    <w:p w:rsidR="00CA27F0" w:rsidRDefault="00CA27F0" w:rsidP="00CA27F0">
      <w:pPr>
        <w:jc w:val="both"/>
        <w:rPr>
          <w:i/>
        </w:rPr>
      </w:pPr>
      <w:r w:rsidRPr="00CA27F0">
        <w:rPr>
          <w:i/>
        </w:rPr>
        <w:t>5 perces tömör összefoglaló az indikatív ajánlatokkal kapcsolatban</w:t>
      </w:r>
    </w:p>
    <w:p w:rsidR="00C0640B" w:rsidRPr="00F25859" w:rsidRDefault="00C0640B" w:rsidP="00F25859">
      <w:pPr>
        <w:shd w:val="clear" w:color="auto" w:fill="C4BC96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>Ellenőrző kérdések a megfelelőséghez:</w:t>
      </w:r>
    </w:p>
    <w:p w:rsidR="00C0640B" w:rsidRDefault="00C0640B" w:rsidP="00C0640B">
      <w:pPr>
        <w:rPr>
          <w:i/>
        </w:rPr>
      </w:pPr>
      <w:proofErr w:type="gramStart"/>
      <w:r>
        <w:rPr>
          <w:i/>
        </w:rPr>
        <w:t>a</w:t>
      </w:r>
      <w:proofErr w:type="gramEnd"/>
      <w:r>
        <w:rPr>
          <w:i/>
        </w:rPr>
        <w:t xml:space="preserve">, </w:t>
      </w:r>
      <w:r w:rsidR="004102C5">
        <w:rPr>
          <w:i/>
        </w:rPr>
        <w:t xml:space="preserve">Kikkel „találkozik” a Kedvezményezett? </w:t>
      </w:r>
    </w:p>
    <w:p w:rsidR="00C0640B" w:rsidRDefault="00C0640B" w:rsidP="00C0640B">
      <w:pPr>
        <w:rPr>
          <w:i/>
        </w:rPr>
      </w:pPr>
      <w:r>
        <w:rPr>
          <w:i/>
        </w:rPr>
        <w:t xml:space="preserve">b, </w:t>
      </w:r>
      <w:r w:rsidR="004102C5">
        <w:rPr>
          <w:i/>
        </w:rPr>
        <w:t>Mi az a Közreműködő Szervezet és milyenek lehetnek?</w:t>
      </w:r>
    </w:p>
    <w:p w:rsidR="00C0640B" w:rsidRDefault="00C0640B" w:rsidP="00F25859">
      <w:pPr>
        <w:rPr>
          <w:i/>
        </w:rPr>
      </w:pPr>
      <w:r>
        <w:rPr>
          <w:i/>
        </w:rPr>
        <w:t xml:space="preserve">c, </w:t>
      </w:r>
      <w:r w:rsidR="004102C5">
        <w:rPr>
          <w:i/>
        </w:rPr>
        <w:t>Melyek a támogatási szerződés aláírásához vezető út lépései?</w:t>
      </w:r>
      <w:r>
        <w:rPr>
          <w:i/>
        </w:rPr>
        <w:t xml:space="preserve"> </w:t>
      </w:r>
    </w:p>
    <w:p w:rsidR="00C0640B" w:rsidRPr="009261BF" w:rsidRDefault="00C0640B" w:rsidP="00C0640B">
      <w:pPr>
        <w:shd w:val="clear" w:color="auto" w:fill="C4BC96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 xml:space="preserve">Adaptáció a kiválósághoz: </w:t>
      </w:r>
    </w:p>
    <w:p w:rsidR="00C0640B" w:rsidRDefault="00F25859" w:rsidP="00F25859">
      <w:pPr>
        <w:jc w:val="both"/>
        <w:rPr>
          <w:i/>
        </w:rPr>
      </w:pPr>
      <w:r>
        <w:rPr>
          <w:i/>
        </w:rPr>
        <w:t>Keress az Interneten legalább három támogatási szerződés mintát. Hasonlítsd össze őket mik a hasonlóságok és mik a különbségek!</w:t>
      </w:r>
    </w:p>
    <w:p w:rsidR="00C0640B" w:rsidRDefault="00C0640B" w:rsidP="00C0640B">
      <w:pPr>
        <w:rPr>
          <w:i/>
        </w:rPr>
      </w:pPr>
    </w:p>
    <w:p w:rsidR="00834547" w:rsidRPr="00834547" w:rsidRDefault="003F237F" w:rsidP="00834547">
      <w:pPr>
        <w:jc w:val="both"/>
        <w:rPr>
          <w:rFonts w:ascii="Times New Roman" w:hAnsi="Times New Roman" w:cs="Times New Roman"/>
        </w:rPr>
      </w:pPr>
      <w:r w:rsidRPr="002C705A">
        <w:rPr>
          <w:noProof/>
          <w:lang w:eastAsia="hu-HU"/>
        </w:rPr>
        <w:drawing>
          <wp:inline distT="0" distB="0" distL="0" distR="0" wp14:anchorId="1F345839" wp14:editId="362955A7">
            <wp:extent cx="5758774" cy="323931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547" w:rsidRPr="00834547" w:rsidRDefault="00834547" w:rsidP="00834547">
      <w:pPr>
        <w:jc w:val="both"/>
        <w:rPr>
          <w:rFonts w:ascii="Times New Roman" w:hAnsi="Times New Roman" w:cs="Times New Roman"/>
        </w:rPr>
      </w:pPr>
    </w:p>
    <w:sectPr w:rsidR="00834547" w:rsidRPr="00834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756" w:rsidRDefault="00FA1756" w:rsidP="00834547">
      <w:pPr>
        <w:spacing w:after="0" w:line="240" w:lineRule="auto"/>
      </w:pPr>
      <w:r>
        <w:separator/>
      </w:r>
    </w:p>
  </w:endnote>
  <w:endnote w:type="continuationSeparator" w:id="0">
    <w:p w:rsidR="00FA1756" w:rsidRDefault="00FA1756" w:rsidP="0083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756" w:rsidRDefault="00FA1756" w:rsidP="00834547">
      <w:pPr>
        <w:spacing w:after="0" w:line="240" w:lineRule="auto"/>
      </w:pPr>
      <w:r>
        <w:separator/>
      </w:r>
    </w:p>
  </w:footnote>
  <w:footnote w:type="continuationSeparator" w:id="0">
    <w:p w:rsidR="00FA1756" w:rsidRDefault="00FA1756" w:rsidP="00834547">
      <w:pPr>
        <w:spacing w:after="0" w:line="240" w:lineRule="auto"/>
      </w:pPr>
      <w:r>
        <w:continuationSeparator/>
      </w:r>
    </w:p>
  </w:footnote>
  <w:footnote w:id="1">
    <w:p w:rsidR="00834547" w:rsidRDefault="00834547" w:rsidP="00834547">
      <w:pPr>
        <w:pStyle w:val="Lbjegyzetszveg"/>
      </w:pPr>
      <w:r>
        <w:rPr>
          <w:rStyle w:val="Lbjegyzet-hivatkozs"/>
        </w:rPr>
        <w:footnoteRef/>
      </w:r>
      <w:r>
        <w:t xml:space="preserve"> A Szerződés 87. cikke a vállalkozásoknak nyújtott állami támogatásokat szabályozza.</w:t>
      </w:r>
    </w:p>
  </w:footnote>
  <w:footnote w:id="2">
    <w:p w:rsidR="00834547" w:rsidRDefault="00834547" w:rsidP="00834547">
      <w:pPr>
        <w:pStyle w:val="Lbjegyzetszveg"/>
      </w:pPr>
      <w:r>
        <w:rPr>
          <w:rStyle w:val="Lbjegyzet-hivatkozs"/>
        </w:rPr>
        <w:footnoteRef/>
      </w:r>
      <w:r>
        <w:t xml:space="preserve"> Gazdasági Versenyképesség Operatív Program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8D5EDE1C"/>
    <w:lvl w:ilvl="0">
      <w:start w:val="2"/>
      <w:numFmt w:val="bullet"/>
      <w:pStyle w:val="Stlusszabi"/>
      <w:lvlText w:val="-"/>
      <w:lvlJc w:val="left"/>
      <w:pPr>
        <w:tabs>
          <w:tab w:val="num" w:pos="7230"/>
        </w:tabs>
        <w:ind w:left="7230" w:hanging="567"/>
      </w:pPr>
      <w:rPr>
        <w:rFonts w:ascii="Times New Roman" w:hAnsi="Times New Roman"/>
      </w:rPr>
    </w:lvl>
  </w:abstractNum>
  <w:abstractNum w:abstractNumId="1" w15:restartNumberingAfterBreak="0">
    <w:nsid w:val="0FEB5D81"/>
    <w:multiLevelType w:val="hybridMultilevel"/>
    <w:tmpl w:val="E542B4F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532331A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3063C36"/>
    <w:multiLevelType w:val="hybridMultilevel"/>
    <w:tmpl w:val="49A2548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B4D40EF"/>
    <w:multiLevelType w:val="hybridMultilevel"/>
    <w:tmpl w:val="A604672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7D4FCC"/>
    <w:multiLevelType w:val="multilevel"/>
    <w:tmpl w:val="6DFA9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  <w:rPr>
        <w:rFonts w:hint="default"/>
      </w:rPr>
    </w:lvl>
  </w:abstractNum>
  <w:abstractNum w:abstractNumId="6" w15:restartNumberingAfterBreak="0">
    <w:nsid w:val="5A4B2DB7"/>
    <w:multiLevelType w:val="hybridMultilevel"/>
    <w:tmpl w:val="12B87D3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0130964"/>
    <w:multiLevelType w:val="hybridMultilevel"/>
    <w:tmpl w:val="EC42631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47"/>
    <w:rsid w:val="000D2611"/>
    <w:rsid w:val="000E1BB4"/>
    <w:rsid w:val="002751D9"/>
    <w:rsid w:val="003F237F"/>
    <w:rsid w:val="00403946"/>
    <w:rsid w:val="004102C5"/>
    <w:rsid w:val="004D366E"/>
    <w:rsid w:val="004D4F12"/>
    <w:rsid w:val="004E0438"/>
    <w:rsid w:val="005A3219"/>
    <w:rsid w:val="005D4959"/>
    <w:rsid w:val="00647C94"/>
    <w:rsid w:val="0068431E"/>
    <w:rsid w:val="00710B99"/>
    <w:rsid w:val="00756A85"/>
    <w:rsid w:val="00834547"/>
    <w:rsid w:val="00842AAB"/>
    <w:rsid w:val="00896730"/>
    <w:rsid w:val="00977C7F"/>
    <w:rsid w:val="009A26F3"/>
    <w:rsid w:val="00AB5D28"/>
    <w:rsid w:val="00B21368"/>
    <w:rsid w:val="00B27B70"/>
    <w:rsid w:val="00B53A33"/>
    <w:rsid w:val="00B96144"/>
    <w:rsid w:val="00BB5559"/>
    <w:rsid w:val="00C0640B"/>
    <w:rsid w:val="00C10C97"/>
    <w:rsid w:val="00CA27F0"/>
    <w:rsid w:val="00D35661"/>
    <w:rsid w:val="00D61433"/>
    <w:rsid w:val="00F23121"/>
    <w:rsid w:val="00F25859"/>
    <w:rsid w:val="00F30EE1"/>
    <w:rsid w:val="00F5372D"/>
    <w:rsid w:val="00F90CA0"/>
    <w:rsid w:val="00FA1756"/>
    <w:rsid w:val="00FC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CB4C6-E60E-4C51-8767-2181AB8F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4547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qFormat/>
    <w:rsid w:val="00834547"/>
    <w:pPr>
      <w:keepNext/>
      <w:numPr>
        <w:numId w:val="2"/>
      </w:numPr>
      <w:tabs>
        <w:tab w:val="left" w:pos="374"/>
      </w:tabs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lang w:eastAsia="hu-HU"/>
    </w:rPr>
  </w:style>
  <w:style w:type="paragraph" w:styleId="Cmsor2">
    <w:name w:val="heading 2"/>
    <w:basedOn w:val="Norml"/>
    <w:next w:val="Norml"/>
    <w:link w:val="Cmsor2Char"/>
    <w:qFormat/>
    <w:rsid w:val="00834547"/>
    <w:pPr>
      <w:keepNext/>
      <w:numPr>
        <w:ilvl w:val="1"/>
        <w:numId w:val="2"/>
      </w:numPr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i/>
      <w:lang w:eastAsia="hu-HU"/>
    </w:rPr>
  </w:style>
  <w:style w:type="paragraph" w:styleId="Cmsor3">
    <w:name w:val="heading 3"/>
    <w:basedOn w:val="Norml"/>
    <w:next w:val="Norml"/>
    <w:link w:val="Cmsor3Char"/>
    <w:qFormat/>
    <w:rsid w:val="00834547"/>
    <w:pPr>
      <w:keepNext/>
      <w:numPr>
        <w:ilvl w:val="2"/>
        <w:numId w:val="2"/>
      </w:numPr>
      <w:tabs>
        <w:tab w:val="left" w:pos="3402"/>
      </w:tabs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lang w:eastAsia="hu-HU"/>
    </w:rPr>
  </w:style>
  <w:style w:type="paragraph" w:styleId="Cmsor4">
    <w:name w:val="heading 4"/>
    <w:basedOn w:val="Norml"/>
    <w:next w:val="Norml"/>
    <w:link w:val="Cmsor4Char"/>
    <w:qFormat/>
    <w:rsid w:val="00834547"/>
    <w:pPr>
      <w:keepNext/>
      <w:numPr>
        <w:ilvl w:val="3"/>
        <w:numId w:val="2"/>
      </w:numPr>
      <w:spacing w:after="0" w:line="240" w:lineRule="auto"/>
      <w:ind w:right="3506"/>
      <w:jc w:val="both"/>
      <w:outlineLvl w:val="3"/>
    </w:pPr>
    <w:rPr>
      <w:rFonts w:ascii="Times New Roman" w:eastAsia="Times New Roman" w:hAnsi="Times New Roman" w:cs="Times New Roman"/>
      <w:lang w:eastAsia="hu-HU"/>
    </w:rPr>
  </w:style>
  <w:style w:type="paragraph" w:styleId="Cmsor5">
    <w:name w:val="heading 5"/>
    <w:basedOn w:val="Norml"/>
    <w:next w:val="Norml"/>
    <w:link w:val="Cmsor5Char"/>
    <w:qFormat/>
    <w:rsid w:val="00834547"/>
    <w:pPr>
      <w:keepNext/>
      <w:numPr>
        <w:ilvl w:val="4"/>
        <w:numId w:val="2"/>
      </w:numPr>
      <w:spacing w:after="0" w:line="240" w:lineRule="auto"/>
      <w:ind w:right="3081"/>
      <w:jc w:val="both"/>
      <w:outlineLvl w:val="4"/>
    </w:pPr>
    <w:rPr>
      <w:rFonts w:ascii="Times New Roman" w:eastAsia="Times New Roman" w:hAnsi="Times New Roman" w:cs="Times New Roman"/>
      <w:lang w:eastAsia="hu-HU"/>
    </w:rPr>
  </w:style>
  <w:style w:type="paragraph" w:styleId="Cmsor6">
    <w:name w:val="heading 6"/>
    <w:basedOn w:val="Norml"/>
    <w:next w:val="Norml"/>
    <w:link w:val="Cmsor6Char"/>
    <w:qFormat/>
    <w:rsid w:val="00834547"/>
    <w:pPr>
      <w:keepNext/>
      <w:numPr>
        <w:ilvl w:val="5"/>
        <w:numId w:val="2"/>
      </w:numPr>
      <w:spacing w:after="0" w:line="240" w:lineRule="auto"/>
      <w:ind w:right="2656"/>
      <w:jc w:val="both"/>
      <w:outlineLvl w:val="5"/>
    </w:pPr>
    <w:rPr>
      <w:rFonts w:ascii="Times New Roman" w:eastAsia="Times New Roman" w:hAnsi="Times New Roman" w:cs="Times New Roman"/>
      <w:lang w:eastAsia="hu-HU"/>
    </w:rPr>
  </w:style>
  <w:style w:type="paragraph" w:styleId="Cmsor7">
    <w:name w:val="heading 7"/>
    <w:basedOn w:val="Norml"/>
    <w:next w:val="Norml"/>
    <w:link w:val="Cmsor7Char"/>
    <w:qFormat/>
    <w:rsid w:val="00834547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834547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834547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34547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834547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834547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834547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834547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834547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834547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834547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834547"/>
    <w:rPr>
      <w:rFonts w:ascii="Arial" w:eastAsia="Times New Roman" w:hAnsi="Arial" w:cs="Times New Roman"/>
      <w:b/>
      <w:i/>
      <w:sz w:val="18"/>
      <w:lang w:eastAsia="hu-HU"/>
    </w:rPr>
  </w:style>
  <w:style w:type="paragraph" w:styleId="Lbjegyzetszveg">
    <w:name w:val="footnote text"/>
    <w:basedOn w:val="Norml"/>
    <w:link w:val="LbjegyzetszvegChar"/>
    <w:semiHidden/>
    <w:rsid w:val="00834547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34547"/>
    <w:rPr>
      <w:rFonts w:ascii="Times New Roman" w:eastAsia="Times New Roman" w:hAnsi="Times New Roman" w:cs="Times New Roman"/>
      <w:sz w:val="18"/>
      <w:lang w:eastAsia="hu-HU"/>
    </w:rPr>
  </w:style>
  <w:style w:type="character" w:styleId="Lbjegyzet-hivatkozs">
    <w:name w:val="footnote reference"/>
    <w:basedOn w:val="Bekezdsalapbettpusa"/>
    <w:semiHidden/>
    <w:rsid w:val="00834547"/>
    <w:rPr>
      <w:vertAlign w:val="superscript"/>
    </w:rPr>
  </w:style>
  <w:style w:type="paragraph" w:customStyle="1" w:styleId="Stlusszabi">
    <w:name w:val="Stílusszabi"/>
    <w:basedOn w:val="Norml"/>
    <w:rsid w:val="00834547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237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C0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68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CA2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CA27F0"/>
    <w:rPr>
      <w:color w:val="0000FF"/>
      <w:u w:val="single"/>
    </w:rPr>
  </w:style>
  <w:style w:type="character" w:styleId="HTML-idzet">
    <w:name w:val="HTML Cite"/>
    <w:basedOn w:val="Bekezdsalapbettpusa"/>
    <w:uiPriority w:val="99"/>
    <w:semiHidden/>
    <w:unhideWhenUsed/>
    <w:rsid w:val="00CA27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3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2382</Words>
  <Characters>16437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Imreh Szabolcs</dc:creator>
  <cp:lastModifiedBy>Mónika Dr. Imreh-Tóth</cp:lastModifiedBy>
  <cp:revision>7</cp:revision>
  <cp:lastPrinted>2018-09-04T08:58:00Z</cp:lastPrinted>
  <dcterms:created xsi:type="dcterms:W3CDTF">2019-03-25T14:02:00Z</dcterms:created>
  <dcterms:modified xsi:type="dcterms:W3CDTF">2019-04-08T14:48:00Z</dcterms:modified>
</cp:coreProperties>
</file>