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7" w:rsidRDefault="00377F87" w:rsidP="00377F87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6C36A2">
        <w:t>6</w:t>
      </w:r>
      <w:r>
        <w:t xml:space="preserve"> perc, készítette: Kürtösi Zsófia</w:t>
      </w:r>
    </w:p>
    <w:p w:rsidR="00377F87" w:rsidRPr="00C40C8B" w:rsidRDefault="00377F87" w:rsidP="00377F87">
      <w:pPr>
        <w:pStyle w:val="Cmsor1"/>
        <w:numPr>
          <w:ilvl w:val="0"/>
          <w:numId w:val="0"/>
        </w:numPr>
      </w:pPr>
      <w:r>
        <w:rPr>
          <w:caps/>
        </w:rPr>
        <w:t>MUNKAERŐ</w:t>
      </w:r>
      <w:r w:rsidR="00B075BC">
        <w:rPr>
          <w:caps/>
        </w:rPr>
        <w:t>GAZDÁLKODÁS ÉS hrm STRATÉGIA</w:t>
      </w:r>
    </w:p>
    <w:p w:rsidR="00B075BC" w:rsidRDefault="00377F87" w:rsidP="00377F87">
      <w:pPr>
        <w:pStyle w:val="Szvegtrzsbehzssal3"/>
        <w:spacing w:line="276" w:lineRule="auto"/>
        <w:ind w:firstLine="0"/>
      </w:pPr>
      <w:r w:rsidRPr="00C40C8B">
        <w:t>A</w:t>
      </w:r>
      <w:r w:rsidR="00B075BC">
        <w:t xml:space="preserve">z, hogy a szervezet hogyan tervez a munkaerővel, hogyan kezeli az emberi erőforrás állományt, erősen függhet a HRM stratégiától. A szervezetek általában flexibilitásra törekszenek, ami az állomány tekintetében jelenthet egyrészt </w:t>
      </w:r>
      <w:r w:rsidR="00B075BC" w:rsidRPr="00280CA6">
        <w:rPr>
          <w:b/>
        </w:rPr>
        <w:t>számbeli (numerikus) rugalmasságot</w:t>
      </w:r>
      <w:r w:rsidR="00B075BC">
        <w:t>: a munkaerő</w:t>
      </w:r>
      <w:r w:rsidR="00762C88">
        <w:t>-állományt könnyen lehessen le</w:t>
      </w:r>
      <w:r w:rsidR="00B075BC">
        <w:t xml:space="preserve">építeni vagy épp új embereket felvenni, másrészt </w:t>
      </w:r>
      <w:r w:rsidR="00B075BC" w:rsidRPr="00280CA6">
        <w:rPr>
          <w:b/>
        </w:rPr>
        <w:t>funkcionális rugalmasságot</w:t>
      </w:r>
      <w:r w:rsidR="00B075BC">
        <w:t>: a szervezetnél dolgozók könnyen betaníthatók legyenek új munkakörökre, el tudjanak látni újabb és újabb feladatokat, ne csak a legszűkebben vett munkakörüket.</w:t>
      </w:r>
    </w:p>
    <w:p w:rsidR="00DD670C" w:rsidRDefault="00B075BC" w:rsidP="00280CA6">
      <w:pPr>
        <w:pStyle w:val="Szvegtrzsbehzssal3"/>
        <w:spacing w:line="276" w:lineRule="auto"/>
      </w:pPr>
      <w:r>
        <w:t xml:space="preserve">Ez a kétfajta rugalmasság látszólag ellentétben áll egymással, hiszen a </w:t>
      </w:r>
      <w:r w:rsidRPr="00ED6779">
        <w:rPr>
          <w:b/>
        </w:rPr>
        <w:t>létszám rugalmasságát</w:t>
      </w:r>
      <w:r>
        <w:t xml:space="preserve"> elsősorban az atipikus foglalkoztatási formák biztosítják: a kölcsönzött munkaerő, a határozott idejű szerződések, ami egyben azt is jelenti, hogy a cég nem törekszik hosszú távú kontraktusokra a munkavállalókkal, </w:t>
      </w:r>
      <w:r w:rsidR="00280CA6">
        <w:t xml:space="preserve">nem kívánja tartósan megtartani az embereket, hanem </w:t>
      </w:r>
      <w:r>
        <w:t>elsősorban a költségeket szeretné minimalizálni</w:t>
      </w:r>
      <w:r w:rsidR="00280CA6">
        <w:t>, és ez a hozzáállás a bérezésben is tetten érhető</w:t>
      </w:r>
      <w:r>
        <w:t xml:space="preserve">. A </w:t>
      </w:r>
      <w:r w:rsidRPr="00ED6779">
        <w:rPr>
          <w:b/>
        </w:rPr>
        <w:t>funkcionális rugalmasság</w:t>
      </w:r>
      <w:r>
        <w:t xml:space="preserve"> ese</w:t>
      </w:r>
      <w:r w:rsidR="00762C88">
        <w:t>tén ugyanakkor az állomány hosszú távú foglalkoztatására</w:t>
      </w:r>
      <w:r>
        <w:t xml:space="preserve">, lojális munkaerő </w:t>
      </w:r>
      <w:r w:rsidR="00762C88">
        <w:t>megteremtésére</w:t>
      </w:r>
      <w:r>
        <w:t xml:space="preserve"> törekszik, képzésekkel beruház</w:t>
      </w:r>
      <w:r w:rsidR="00762C88">
        <w:t xml:space="preserve"> az emberi tőkébe</w:t>
      </w:r>
      <w:r>
        <w:t xml:space="preserve">, olyan sokrétűen képzett, a változásokhoz jól </w:t>
      </w:r>
      <w:r w:rsidR="00762C88">
        <w:t>alkalmazkodó</w:t>
      </w:r>
      <w:r w:rsidR="00280CA6">
        <w:t xml:space="preserve"> munkatársakra épít, akiket hosszabb távra is igyekszik a céghez kötni pl. azzal, hogy a szektorban versenyképes béreket kínál. </w:t>
      </w:r>
    </w:p>
    <w:p w:rsidR="00DA00CA" w:rsidRDefault="00280CA6" w:rsidP="00DA00CA">
      <w:pPr>
        <w:pStyle w:val="Szvegtrzsbehzssal3"/>
        <w:spacing w:line="276" w:lineRule="auto"/>
      </w:pPr>
      <w:r>
        <w:t xml:space="preserve">Valójában a szervezetek akár egyszerre is alkalmazhatják </w:t>
      </w:r>
      <w:r w:rsidR="005507F1">
        <w:t>e</w:t>
      </w:r>
      <w:r>
        <w:t xml:space="preserve"> kétféle stratégiát, megközelítés</w:t>
      </w:r>
      <w:r w:rsidR="00762C88">
        <w:t>t</w:t>
      </w:r>
      <w:r>
        <w:t>, mégpedig úgy, hogy szegmentálják a munkaerő</w:t>
      </w:r>
      <w:r w:rsidR="00762C88">
        <w:t>-</w:t>
      </w:r>
      <w:r>
        <w:t xml:space="preserve">állományukat: a kulcsmunkatársaknál (kulcsmunkakörökben dolgozóknál) a megtartásra törekszenek, az iparági átlag feletti béreket kínálnak, képzésekkel fejlesztik ezt a csoportot, </w:t>
      </w:r>
      <w:r w:rsidR="00DD670C">
        <w:t xml:space="preserve">jó előrelépési lehetőségekkel, karrierprogramokkal támogatják a cégnél maradást, igyekeznek elérni az elkötelezettséget. Az elkötelezett munkatársak pedig szívesen vállalnak fel új feladatokat, akár a szigorúan vett munkaköri kötelességeiken túl is, </w:t>
      </w:r>
      <w:r w:rsidR="00762C88">
        <w:t xml:space="preserve">hajlandóak részt venni </w:t>
      </w:r>
      <w:r w:rsidR="00DD670C">
        <w:t>képzések</w:t>
      </w:r>
      <w:r w:rsidR="00762C88">
        <w:t>en</w:t>
      </w:r>
      <w:r w:rsidR="00DD670C">
        <w:t>, érdekeltek a szervezeti sikerben. Mí</w:t>
      </w:r>
      <w:r>
        <w:t>g a többi munka</w:t>
      </w:r>
      <w:r w:rsidR="00762C88">
        <w:t>körben dolgozó munka</w:t>
      </w:r>
      <w:r>
        <w:t>vállaló megtartására nem helyeznek hangsúlyt, alacsonyabb béreket kínálnak,</w:t>
      </w:r>
      <w:r w:rsidR="00DB73C6">
        <w:t xml:space="preserve"> karrierlehetőségek egyáltalán nincsenek</w:t>
      </w:r>
      <w:r w:rsidR="00762C88" w:rsidRPr="00762C88">
        <w:t xml:space="preserve"> </w:t>
      </w:r>
      <w:r w:rsidR="00762C88">
        <w:t>vagy minimálisak</w:t>
      </w:r>
      <w:r w:rsidR="00DB73C6">
        <w:t>,</w:t>
      </w:r>
      <w:r>
        <w:t xml:space="preserve"> atipikus szerződésekkel operálnak, a számbeli rugalmasságot helyezik előtérbe.</w:t>
      </w:r>
      <w:r w:rsidR="00DD670C">
        <w:t xml:space="preserve"> Ez utóbbi csoportot tehát könnyen pótolhatónak tartják, periférikusan</w:t>
      </w:r>
      <w:r w:rsidR="00762C88">
        <w:t>, másodrendű állományként</w:t>
      </w:r>
      <w:r w:rsidR="00DD670C">
        <w:t xml:space="preserve"> kezelik, nem várják el tőlük az elköteleződést, sem azt, hogy a szigorúan vett munkaköri feladataikon túl segítsék a szervezeti fejlődést.</w:t>
      </w:r>
      <w:r w:rsidR="00DB73C6">
        <w:t xml:space="preserve"> </w:t>
      </w:r>
      <w:r w:rsidR="00DB73C6" w:rsidRPr="00DA00CA">
        <w:rPr>
          <w:b/>
        </w:rPr>
        <w:t>Míg az előbbit szervezet fókuszú, utóbbit munkakör fókuszú foglalkoztatásnak tekinthetjük</w:t>
      </w:r>
      <w:r w:rsidR="00DB73C6">
        <w:t>.</w:t>
      </w:r>
      <w:r w:rsidR="00DA00CA" w:rsidRPr="00DA00CA">
        <w:t xml:space="preserve"> </w:t>
      </w:r>
    </w:p>
    <w:p w:rsidR="00DA00CA" w:rsidRDefault="00DA00CA" w:rsidP="00DA00CA">
      <w:pPr>
        <w:pStyle w:val="Szvegtrzsbehzssal3"/>
        <w:spacing w:line="276" w:lineRule="auto"/>
      </w:pPr>
      <w:r>
        <w:t>Hogy mely munkaköröket tekint</w:t>
      </w:r>
      <w:r w:rsidR="00762C88">
        <w:t>ik</w:t>
      </w:r>
      <w:r>
        <w:t xml:space="preserve"> kulcsmunkaköröknek és melyeket periférikusnak, az a szervezet belső és külső környezet</w:t>
      </w:r>
      <w:r w:rsidR="00762C88">
        <w:t>étől, iparági helyzetétől</w:t>
      </w:r>
      <w:r>
        <w:t xml:space="preserve"> is függ: jellemzően az egyszerűbb, könnyebben elsajátítható (gyakran pl. egyes fizikai munkakörök, adminisztratív, támogató jellegű szellemi</w:t>
      </w:r>
      <w:r w:rsidR="00762C88">
        <w:t>)</w:t>
      </w:r>
      <w:r>
        <w:t xml:space="preserve"> munkakörök kerülnek a periférikus kategóriába.</w:t>
      </w:r>
    </w:p>
    <w:p w:rsidR="00DA00CA" w:rsidRDefault="00DA00CA" w:rsidP="00280CA6">
      <w:pPr>
        <w:pStyle w:val="Szvegtrzsbehzssal3"/>
        <w:spacing w:line="276" w:lineRule="auto"/>
      </w:pPr>
      <w:r>
        <w:t xml:space="preserve">A </w:t>
      </w:r>
      <w:r w:rsidRPr="00176B76">
        <w:rPr>
          <w:b/>
        </w:rPr>
        <w:t>szervezet fókuszú foglalkoztatás</w:t>
      </w:r>
      <w:r>
        <w:t xml:space="preserve"> (legyen az igaz a teljes állományra, vagy csak a kulcsmunkakörökre) arra épít, hogy a szervezet kialakít egy belső munkaerőpiacot, igyekszik saját magának kinevelni a munkavállalókat, így a hangsúly a képzés-fejlesztésen, a karriermenedzsment rendszereken és a teljesítményértékelési rendszereken van</w:t>
      </w:r>
      <w:r w:rsidR="00176B76">
        <w:t>, ezek jól kidolgozottak, a szervezet ezen funkciókra nagy energiákat fordít</w:t>
      </w:r>
      <w:r>
        <w:t>. Míg a munkakör alapú foglalkoztatás esetén a HRM szemlélete költségminimalizáló és erősen épít a külső munkaerőpiacra.</w:t>
      </w:r>
      <w:r w:rsidR="00176B76">
        <w:t xml:space="preserve"> (Carvalho</w:t>
      </w:r>
      <w:r w:rsidR="00176B76" w:rsidRPr="00C40C8B">
        <w:t>–</w:t>
      </w:r>
      <w:r w:rsidR="00176B76">
        <w:t>Cabral-Cardoso, 2008)</w:t>
      </w:r>
    </w:p>
    <w:p w:rsidR="00280CA6" w:rsidRDefault="00280CA6" w:rsidP="00377F87">
      <w:pPr>
        <w:pStyle w:val="Szvegtrzsbehzssal3"/>
        <w:spacing w:line="276" w:lineRule="auto"/>
        <w:ind w:firstLine="0"/>
      </w:pPr>
    </w:p>
    <w:p w:rsidR="00A36DF3" w:rsidRDefault="00A36DF3">
      <w:pPr>
        <w:spacing w:after="200" w:line="276" w:lineRule="auto"/>
        <w:ind w:firstLine="0"/>
        <w:jc w:val="left"/>
      </w:pPr>
      <w:r>
        <w:br w:type="page"/>
      </w:r>
    </w:p>
    <w:p w:rsidR="00A36DF3" w:rsidRPr="00182C7B" w:rsidRDefault="00A36DF3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>
        <w:rPr>
          <w:rFonts w:ascii="TimesNewRoman" w:hAnsi="TimesNewRoman"/>
          <w:b/>
          <w:snapToGrid w:val="0"/>
          <w:sz w:val="20"/>
        </w:rPr>
        <w:lastRenderedPageBreak/>
        <w:t>Munkaerő-áramlási modellek</w:t>
      </w:r>
    </w:p>
    <w:p w:rsidR="00A36DF3" w:rsidRDefault="00A36DF3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>A HRM stratégia a munkaerő-áramlási modelleket is meghatározza.</w:t>
      </w:r>
    </w:p>
    <w:p w:rsidR="00A36DF3" w:rsidRDefault="00A36DF3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</w:t>
      </w:r>
      <w:r w:rsidRPr="00A36DF3">
        <w:rPr>
          <w:rFonts w:ascii="TimesNewRoman" w:hAnsi="TimesNewRoman"/>
          <w:b/>
          <w:snapToGrid w:val="0"/>
          <w:sz w:val="20"/>
        </w:rPr>
        <w:t>fel vagy ki</w:t>
      </w:r>
      <w:r>
        <w:rPr>
          <w:rFonts w:ascii="TimesNewRoman" w:hAnsi="TimesNewRoman"/>
          <w:snapToGrid w:val="0"/>
          <w:sz w:val="20"/>
        </w:rPr>
        <w:t xml:space="preserve"> (angolul up-or-out, vagy grow-or-go, azaz fejlődj vagy lépj ki) modell lényege, hogy a szervezet elsősorban a szervezet belépő szintjére toboroz embert, azaz csak a kezdő pozíciókat nyitja meg. Nem alkalmaz túl szigorú kiválasztási mechanizmust, nem a szakmai tudás, hanem a gyors tanulási képesség és egyéb, a szervezethez való illeszkedés kompetenciái számítanak. </w:t>
      </w:r>
      <w:r w:rsidR="00C079D2">
        <w:rPr>
          <w:rFonts w:ascii="TimesNewRoman" w:hAnsi="TimesNewRoman"/>
          <w:snapToGrid w:val="0"/>
          <w:sz w:val="20"/>
        </w:rPr>
        <w:t>A rendszer lényege, hogy a jól teljesítő munkavállalókat előrelépteti (up) vagy ha nem tudnak előrelépni, el kell hagyniuk a szervezetet (out). Itt tehát nem lehet bent ragadni túl sokáig egy-egy munkakörben, mert muszáj előrelépni, ha viszont az egyén nem teljesít elég jól, nem fejlődik, elérte saját kompetenciamaximumát, el kell hagynia a szervezetet. Az ilyen típusú szervezetek tehát általános ismeretekkel is hajlamosak felvenni munkavállalókat, de erős a képzési rendszerük, amivel saját képükre tudják formálni az új belépőket. A belső munkaerőpiac jól működik, felsőbb szintekre csak a szervezeten belülről lehet felkerülni, ide kívülről nem hoznak embert, a saját nevelésű munkavállalókat preferálják, mindenki végigjárja a szamárlétrát. Jól kidolgozottak a karrierutak és kötelező előléptetés van bizonyos idő eltelte után. Ugyanakkor a magasabb szervezeti szintre kerüléshez hozni kell a megfelelő teljesítményt</w:t>
      </w:r>
      <w:r w:rsidR="00C76C3C">
        <w:rPr>
          <w:rFonts w:ascii="TimesNewRoman" w:hAnsi="TimesNewRoman"/>
          <w:snapToGrid w:val="0"/>
          <w:sz w:val="20"/>
        </w:rPr>
        <w:t xml:space="preserve"> (hiszen ott már kevesebb a poszt)</w:t>
      </w:r>
      <w:r w:rsidR="00C079D2">
        <w:rPr>
          <w:rFonts w:ascii="TimesNewRoman" w:hAnsi="TimesNewRoman"/>
          <w:snapToGrid w:val="0"/>
          <w:sz w:val="20"/>
        </w:rPr>
        <w:t>, így ezekben a szervezetekben jól kidolgozott teljesítményértékelési rendszerek működnek</w:t>
      </w:r>
      <w:r w:rsidR="00C76C3C">
        <w:rPr>
          <w:rFonts w:ascii="TimesNewRoman" w:hAnsi="TimesNewRoman"/>
          <w:snapToGrid w:val="0"/>
          <w:sz w:val="20"/>
        </w:rPr>
        <w:t>, erős a verseny</w:t>
      </w:r>
      <w:r w:rsidR="00C079D2">
        <w:rPr>
          <w:rFonts w:ascii="TimesNewRoman" w:hAnsi="TimesNewRoman"/>
          <w:snapToGrid w:val="0"/>
          <w:sz w:val="20"/>
        </w:rPr>
        <w:t xml:space="preserve">. Ha az egyén nem tudja ezt megtenni (nem tud előrelépni), elbocsátják. A rendszer a magasabb szervezeti piramisokra jellemző. Tipikusan ilyen vagy részben ilyen rendszert találunk a különböző </w:t>
      </w:r>
      <w:r w:rsidR="005507F1">
        <w:rPr>
          <w:rFonts w:ascii="TimesNewRoman" w:hAnsi="TimesNewRoman"/>
          <w:snapToGrid w:val="0"/>
          <w:sz w:val="20"/>
        </w:rPr>
        <w:t xml:space="preserve">nagy </w:t>
      </w:r>
      <w:r w:rsidR="00C079D2">
        <w:rPr>
          <w:rFonts w:ascii="TimesNewRoman" w:hAnsi="TimesNewRoman"/>
          <w:snapToGrid w:val="0"/>
          <w:sz w:val="20"/>
        </w:rPr>
        <w:t>tanácsadó cégeknél, jogi cégeknél</w:t>
      </w:r>
      <w:r w:rsidR="005507F1">
        <w:rPr>
          <w:rFonts w:ascii="TimesNewRoman" w:hAnsi="TimesNewRoman"/>
          <w:snapToGrid w:val="0"/>
          <w:sz w:val="20"/>
        </w:rPr>
        <w:t>, adott esetben egyes FMCG cégeknél.</w:t>
      </w:r>
      <w:r w:rsidR="008A30BA">
        <w:rPr>
          <w:rFonts w:ascii="TimesNewRoman" w:hAnsi="TimesNewRoman"/>
          <w:snapToGrid w:val="0"/>
          <w:sz w:val="20"/>
        </w:rPr>
        <w:t xml:space="preserve"> </w:t>
      </w:r>
    </w:p>
    <w:p w:rsidR="008A30BA" w:rsidRDefault="008A30BA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</w:t>
      </w:r>
      <w:r w:rsidRPr="008A30BA">
        <w:rPr>
          <w:rFonts w:ascii="TimesNewRoman" w:hAnsi="TimesNewRoman"/>
          <w:b/>
          <w:snapToGrid w:val="0"/>
          <w:sz w:val="20"/>
        </w:rPr>
        <w:t>be vagy ki</w:t>
      </w:r>
      <w:r>
        <w:rPr>
          <w:rFonts w:ascii="TimesNewRoman" w:hAnsi="TimesNewRoman"/>
          <w:snapToGrid w:val="0"/>
          <w:sz w:val="20"/>
        </w:rPr>
        <w:t xml:space="preserve"> (in-or-out) modell kisebb szervezeti piramisokra jellemző, ahol nincs világos, pozíciókkal kijelölt karrierút. Ezek a szervezetek a szervezet bármely szintjére toboroznak külső embert, akár középvezetőket is felvesznek a munkapiacról. Jellemzően szakmailag kész munkavállalókat keresnek, azaz a kiválasztási folyamat erős és szakmai tudás centrikus, hiszen a szervezet nem vagy csak kisebb arányban költ fejlesztésre.</w:t>
      </w:r>
    </w:p>
    <w:p w:rsidR="00C079D2" w:rsidRDefault="008A30BA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>
        <w:rPr>
          <w:rFonts w:ascii="TimesNewRoman" w:hAnsi="TimesNewRoman"/>
          <w:snapToGrid w:val="0"/>
          <w:sz w:val="20"/>
        </w:rPr>
        <w:t xml:space="preserve">A </w:t>
      </w:r>
      <w:r w:rsidRPr="00C76C3C">
        <w:rPr>
          <w:rFonts w:ascii="TimesNewRoman" w:hAnsi="TimesNewRoman"/>
          <w:b/>
          <w:snapToGrid w:val="0"/>
          <w:sz w:val="20"/>
        </w:rPr>
        <w:t>két modell egyidejűleg is alkalmazható</w:t>
      </w:r>
      <w:r>
        <w:rPr>
          <w:rFonts w:ascii="TimesNewRoman" w:hAnsi="TimesNewRoman"/>
          <w:snapToGrid w:val="0"/>
          <w:sz w:val="20"/>
        </w:rPr>
        <w:t>: azaz pl. a kulcsmunkakörökre a fel vagy ki, míg a támogató munkakörökre a be vagy ki modellt alkalmazzák.</w:t>
      </w:r>
      <w:r w:rsidR="00C76C3C">
        <w:rPr>
          <w:rFonts w:ascii="TimesNewRoman" w:hAnsi="TimesNewRoman"/>
          <w:snapToGrid w:val="0"/>
          <w:sz w:val="20"/>
        </w:rPr>
        <w:t xml:space="preserve"> Illetve a fel vagy ki modell szigorúságát lehet azzal is csökkenteni, hogy gyengítenek az előrelépési feltételen, azaz nem kényszerítik a felfelé haladást.</w:t>
      </w:r>
      <w:r w:rsidR="005507F1" w:rsidRPr="005507F1">
        <w:rPr>
          <w:rFonts w:ascii="TimesNewRoman" w:hAnsi="TimesNewRoman"/>
          <w:snapToGrid w:val="0"/>
          <w:sz w:val="20"/>
        </w:rPr>
        <w:t xml:space="preserve"> </w:t>
      </w:r>
      <w:r w:rsidR="005507F1">
        <w:rPr>
          <w:rFonts w:ascii="TimesNewRoman" w:hAnsi="TimesNewRoman"/>
          <w:snapToGrid w:val="0"/>
          <w:sz w:val="20"/>
        </w:rPr>
        <w:t>Az egyetemeken az oktatói munkakörök első szakaszára jellemző a fel vagy ki modell: a tanársegéd, adjunktus, docens munkakörök között kötelező egy előírt idő elteltével előrelépni, miközben a munkavállaló nyilván teljesíti az új munkakör követelményeit (pl. disszertáció megvédése, habilitáció, stb.). Ha nem tud feljebb lépni (mert pl. adott idő alatt nem védte meg a disszertációját), elbocsátják.</w:t>
      </w:r>
    </w:p>
    <w:p w:rsidR="008A30BA" w:rsidRPr="00C76C3C" w:rsidRDefault="008A30BA" w:rsidP="00A36DF3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</w:rPr>
      </w:pPr>
      <w:r w:rsidRPr="00C76C3C">
        <w:rPr>
          <w:rFonts w:ascii="TimesNewRoman" w:hAnsi="TimesNewRoman"/>
          <w:i/>
          <w:snapToGrid w:val="0"/>
          <w:sz w:val="20"/>
        </w:rPr>
        <w:t>Forrás:</w:t>
      </w:r>
      <w:r w:rsidR="00C76C3C" w:rsidRPr="00C76C3C">
        <w:rPr>
          <w:rFonts w:ascii="TimesNewRoman" w:hAnsi="TimesNewRoman"/>
          <w:i/>
          <w:snapToGrid w:val="0"/>
          <w:sz w:val="20"/>
        </w:rPr>
        <w:t xml:space="preserve"> Batchelor, Charles (2011): ’Up or out’ is part of industry culture. Financial Times, 2011, április 20.</w:t>
      </w:r>
    </w:p>
    <w:p w:rsidR="00A36DF3" w:rsidRDefault="00A36DF3" w:rsidP="00377F87">
      <w:pPr>
        <w:pStyle w:val="Szvegtrzsbehzssal3"/>
        <w:spacing w:line="276" w:lineRule="auto"/>
        <w:ind w:firstLine="0"/>
      </w:pPr>
    </w:p>
    <w:p w:rsidR="00377F87" w:rsidRPr="00C40C8B" w:rsidRDefault="00377F87" w:rsidP="00377F87">
      <w:pPr>
        <w:pStyle w:val="Irodalom"/>
        <w:spacing w:line="276" w:lineRule="auto"/>
        <w:rPr>
          <w:b/>
        </w:rPr>
      </w:pPr>
      <w:r w:rsidRPr="00C40C8B">
        <w:rPr>
          <w:b/>
        </w:rPr>
        <w:t>Irodalom</w:t>
      </w:r>
    </w:p>
    <w:p w:rsidR="00377F87" w:rsidRPr="00C40C8B" w:rsidRDefault="00176B76" w:rsidP="00377F87">
      <w:pPr>
        <w:spacing w:before="120" w:after="120" w:line="276" w:lineRule="auto"/>
        <w:ind w:left="426" w:hanging="426"/>
      </w:pPr>
      <w:r>
        <w:t>Carvalho, Ana</w:t>
      </w:r>
      <w:r w:rsidR="00377F87" w:rsidRPr="00C40C8B">
        <w:t xml:space="preserve"> – </w:t>
      </w:r>
      <w:r>
        <w:t>Cabral-Cardoso,Carlos</w:t>
      </w:r>
      <w:r w:rsidR="00377F87" w:rsidRPr="00C40C8B">
        <w:t xml:space="preserve"> (200</w:t>
      </w:r>
      <w:r>
        <w:t>8</w:t>
      </w:r>
      <w:r w:rsidR="00377F87" w:rsidRPr="00C40C8B">
        <w:t xml:space="preserve">): </w:t>
      </w:r>
      <w:r>
        <w:t xml:space="preserve">Flexibility in HRM in management consulting firms. </w:t>
      </w:r>
      <w:r w:rsidRPr="00176B76">
        <w:rPr>
          <w:i/>
        </w:rPr>
        <w:t xml:space="preserve">Personnel Review </w:t>
      </w:r>
      <w:r>
        <w:t>Vol. 37 No. 3, 332-349.o.</w:t>
      </w:r>
    </w:p>
    <w:p w:rsidR="00504DCB" w:rsidRDefault="00504DCB">
      <w:pPr>
        <w:spacing w:after="200" w:line="276" w:lineRule="auto"/>
        <w:ind w:firstLine="0"/>
        <w:jc w:val="left"/>
      </w:pPr>
      <w:r>
        <w:br w:type="page"/>
      </w:r>
    </w:p>
    <w:p w:rsidR="00377F87" w:rsidRDefault="00504DCB">
      <w:r>
        <w:rPr>
          <w:noProof/>
        </w:rPr>
        <w:lastRenderedPageBreak/>
        <w:drawing>
          <wp:inline distT="0" distB="0" distL="0" distR="0">
            <wp:extent cx="5760720" cy="3233621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FF6D86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7"/>
    <w:rsid w:val="00075008"/>
    <w:rsid w:val="00176B76"/>
    <w:rsid w:val="00280CA6"/>
    <w:rsid w:val="00377F87"/>
    <w:rsid w:val="00504DCB"/>
    <w:rsid w:val="005507F1"/>
    <w:rsid w:val="006C36A2"/>
    <w:rsid w:val="006E4E55"/>
    <w:rsid w:val="00762C88"/>
    <w:rsid w:val="008A30BA"/>
    <w:rsid w:val="008E0C23"/>
    <w:rsid w:val="009F5FA9"/>
    <w:rsid w:val="00A36DF3"/>
    <w:rsid w:val="00B075BC"/>
    <w:rsid w:val="00C079D2"/>
    <w:rsid w:val="00C729EC"/>
    <w:rsid w:val="00C76C3C"/>
    <w:rsid w:val="00DA00CA"/>
    <w:rsid w:val="00DB73C6"/>
    <w:rsid w:val="00DD670C"/>
    <w:rsid w:val="00ED6779"/>
    <w:rsid w:val="00F270E7"/>
    <w:rsid w:val="00F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F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377F87"/>
    <w:pPr>
      <w:keepNext/>
      <w:spacing w:before="480" w:after="240"/>
      <w:ind w:firstLine="0"/>
      <w:jc w:val="center"/>
    </w:pPr>
    <w:rPr>
      <w:i/>
    </w:rPr>
  </w:style>
  <w:style w:type="paragraph" w:customStyle="1" w:styleId="bra">
    <w:name w:val="Ábra"/>
    <w:basedOn w:val="Norml"/>
    <w:next w:val="Norml"/>
    <w:rsid w:val="00377F87"/>
    <w:pPr>
      <w:keepNext/>
      <w:spacing w:before="240" w:after="120"/>
      <w:ind w:firstLine="0"/>
      <w:jc w:val="center"/>
    </w:pPr>
  </w:style>
  <w:style w:type="paragraph" w:styleId="Szvegtrzsbehzssal3">
    <w:name w:val="Body Text Indent 3"/>
    <w:basedOn w:val="Norml"/>
    <w:link w:val="Szvegtrzsbehzssal3Char"/>
    <w:rsid w:val="00377F87"/>
  </w:style>
  <w:style w:type="character" w:customStyle="1" w:styleId="Szvegtrzsbehzssal3Char">
    <w:name w:val="Szövegtörzs behúzással 3 Char"/>
    <w:basedOn w:val="Bekezdsalapbettpusa"/>
    <w:link w:val="Szvegtrzsbehzssal3"/>
    <w:rsid w:val="00377F87"/>
    <w:rPr>
      <w:rFonts w:ascii="Times New Roman" w:eastAsia="Times New Roman" w:hAnsi="Times New Roman" w:cs="Times New Roman"/>
      <w:lang w:eastAsia="hu-HU"/>
    </w:rPr>
  </w:style>
  <w:style w:type="paragraph" w:customStyle="1" w:styleId="Abstract">
    <w:name w:val="Abstract"/>
    <w:basedOn w:val="Norml"/>
    <w:next w:val="Norml"/>
    <w:rsid w:val="00377F87"/>
    <w:pPr>
      <w:keepNext/>
      <w:spacing w:before="480" w:after="240"/>
      <w:ind w:firstLine="0"/>
      <w:jc w:val="center"/>
    </w:pPr>
    <w:rPr>
      <w:b/>
      <w:sz w:val="24"/>
    </w:rPr>
  </w:style>
  <w:style w:type="paragraph" w:customStyle="1" w:styleId="Abstract2">
    <w:name w:val="Abstract2"/>
    <w:basedOn w:val="Norml"/>
    <w:link w:val="Abstract2Char"/>
    <w:rsid w:val="00377F87"/>
    <w:rPr>
      <w:lang w:val="en-GB"/>
    </w:rPr>
  </w:style>
  <w:style w:type="character" w:customStyle="1" w:styleId="Abstract2Char">
    <w:name w:val="Abstract2 Char"/>
    <w:link w:val="Abstract2"/>
    <w:rsid w:val="00377F87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D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DC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F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377F87"/>
    <w:pPr>
      <w:keepNext/>
      <w:spacing w:before="480" w:after="240"/>
      <w:ind w:firstLine="0"/>
      <w:jc w:val="center"/>
    </w:pPr>
    <w:rPr>
      <w:i/>
    </w:rPr>
  </w:style>
  <w:style w:type="paragraph" w:customStyle="1" w:styleId="bra">
    <w:name w:val="Ábra"/>
    <w:basedOn w:val="Norml"/>
    <w:next w:val="Norml"/>
    <w:rsid w:val="00377F87"/>
    <w:pPr>
      <w:keepNext/>
      <w:spacing w:before="240" w:after="120"/>
      <w:ind w:firstLine="0"/>
      <w:jc w:val="center"/>
    </w:pPr>
  </w:style>
  <w:style w:type="paragraph" w:styleId="Szvegtrzsbehzssal3">
    <w:name w:val="Body Text Indent 3"/>
    <w:basedOn w:val="Norml"/>
    <w:link w:val="Szvegtrzsbehzssal3Char"/>
    <w:rsid w:val="00377F87"/>
  </w:style>
  <w:style w:type="character" w:customStyle="1" w:styleId="Szvegtrzsbehzssal3Char">
    <w:name w:val="Szövegtörzs behúzással 3 Char"/>
    <w:basedOn w:val="Bekezdsalapbettpusa"/>
    <w:link w:val="Szvegtrzsbehzssal3"/>
    <w:rsid w:val="00377F87"/>
    <w:rPr>
      <w:rFonts w:ascii="Times New Roman" w:eastAsia="Times New Roman" w:hAnsi="Times New Roman" w:cs="Times New Roman"/>
      <w:lang w:eastAsia="hu-HU"/>
    </w:rPr>
  </w:style>
  <w:style w:type="paragraph" w:customStyle="1" w:styleId="Abstract">
    <w:name w:val="Abstract"/>
    <w:basedOn w:val="Norml"/>
    <w:next w:val="Norml"/>
    <w:rsid w:val="00377F87"/>
    <w:pPr>
      <w:keepNext/>
      <w:spacing w:before="480" w:after="240"/>
      <w:ind w:firstLine="0"/>
      <w:jc w:val="center"/>
    </w:pPr>
    <w:rPr>
      <w:b/>
      <w:sz w:val="24"/>
    </w:rPr>
  </w:style>
  <w:style w:type="paragraph" w:customStyle="1" w:styleId="Abstract2">
    <w:name w:val="Abstract2"/>
    <w:basedOn w:val="Norml"/>
    <w:link w:val="Abstract2Char"/>
    <w:rsid w:val="00377F87"/>
    <w:rPr>
      <w:lang w:val="en-GB"/>
    </w:rPr>
  </w:style>
  <w:style w:type="character" w:customStyle="1" w:styleId="Abstract2Char">
    <w:name w:val="Abstract2 Char"/>
    <w:link w:val="Abstract2"/>
    <w:rsid w:val="00377F87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D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D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11</cp:revision>
  <dcterms:created xsi:type="dcterms:W3CDTF">2018-10-18T06:44:00Z</dcterms:created>
  <dcterms:modified xsi:type="dcterms:W3CDTF">2018-11-15T16:39:00Z</dcterms:modified>
</cp:coreProperties>
</file>